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E48D" w14:textId="419E0EE3" w:rsidR="00FF049C" w:rsidRDefault="00FF049C" w:rsidP="12930BB3">
      <w:pPr>
        <w:pStyle w:val="Titre1"/>
        <w:rPr>
          <w:b/>
          <w:bCs/>
        </w:rPr>
      </w:pPr>
      <w:bookmarkStart w:id="0" w:name="_Working_Group_A"/>
      <w:bookmarkStart w:id="1" w:name="_Toc470031640"/>
      <w:bookmarkEnd w:id="0"/>
      <w:r>
        <w:rPr>
          <w:noProof/>
        </w:rPr>
        <w:drawing>
          <wp:anchor distT="0" distB="0" distL="114300" distR="114300" simplePos="0" relativeHeight="251659264" behindDoc="0" locked="0" layoutInCell="1" allowOverlap="1" wp14:anchorId="18667F7C" wp14:editId="2636C41C">
            <wp:simplePos x="0" y="0"/>
            <wp:positionH relativeFrom="page">
              <wp:align>left</wp:align>
            </wp:positionH>
            <wp:positionV relativeFrom="page">
              <wp:align>top</wp:align>
            </wp:positionV>
            <wp:extent cx="7557135" cy="3420745"/>
            <wp:effectExtent l="0" t="0" r="5715" b="825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Reporters_20171227.jpg"/>
                    <pic:cNvPicPr/>
                  </pic:nvPicPr>
                  <pic:blipFill rotWithShape="1">
                    <a:blip r:embed="rId8" cstate="print">
                      <a:extLst>
                        <a:ext uri="{28A0092B-C50C-407E-A947-70E740481C1C}">
                          <a14:useLocalDpi xmlns:a14="http://schemas.microsoft.com/office/drawing/2010/main" val="0"/>
                        </a:ext>
                      </a:extLst>
                    </a:blip>
                    <a:srcRect b="26648"/>
                    <a:stretch/>
                  </pic:blipFill>
                  <pic:spPr bwMode="auto">
                    <a:xfrm>
                      <a:off x="0" y="0"/>
                      <a:ext cx="7557135" cy="3420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D8F97C" w14:textId="77777777" w:rsidR="00FF049C" w:rsidRDefault="00FF049C" w:rsidP="12930BB3">
      <w:pPr>
        <w:pStyle w:val="Titre1"/>
        <w:rPr>
          <w:b/>
          <w:bCs/>
        </w:rPr>
      </w:pPr>
    </w:p>
    <w:p w14:paraId="59B36F64" w14:textId="77777777" w:rsidR="00FF049C" w:rsidRDefault="00FF049C" w:rsidP="12930BB3">
      <w:pPr>
        <w:pStyle w:val="Titre1"/>
        <w:rPr>
          <w:b/>
          <w:bCs/>
        </w:rPr>
      </w:pPr>
    </w:p>
    <w:p w14:paraId="4F6715AB" w14:textId="77777777" w:rsidR="00FF049C" w:rsidRDefault="00FF049C" w:rsidP="12930BB3">
      <w:pPr>
        <w:pStyle w:val="Titre1"/>
        <w:rPr>
          <w:b/>
          <w:bCs/>
        </w:rPr>
      </w:pPr>
    </w:p>
    <w:p w14:paraId="4E8EBEA3" w14:textId="464B556F" w:rsidR="00FF049C" w:rsidRDefault="00FF049C" w:rsidP="12930BB3">
      <w:pPr>
        <w:pStyle w:val="Titre1"/>
        <w:rPr>
          <w:b/>
          <w:bCs/>
        </w:rPr>
      </w:pPr>
      <w:r w:rsidRPr="00FF049C">
        <w:rPr>
          <w:b/>
          <w:bCs/>
          <w:noProof/>
        </w:rPr>
        <mc:AlternateContent>
          <mc:Choice Requires="wps">
            <w:drawing>
              <wp:anchor distT="0" distB="0" distL="114300" distR="114300" simplePos="0" relativeHeight="251661312" behindDoc="0" locked="0" layoutInCell="1" allowOverlap="1" wp14:anchorId="50787951" wp14:editId="357A72DD">
                <wp:simplePos x="0" y="0"/>
                <wp:positionH relativeFrom="page">
                  <wp:posOffset>4458335</wp:posOffset>
                </wp:positionH>
                <wp:positionV relativeFrom="paragraph">
                  <wp:posOffset>12700</wp:posOffset>
                </wp:positionV>
                <wp:extent cx="3089910" cy="898525"/>
                <wp:effectExtent l="0" t="0" r="0" b="0"/>
                <wp:wrapNone/>
                <wp:docPr id="330" name="Rectangle 330"/>
                <wp:cNvGraphicFramePr/>
                <a:graphic xmlns:a="http://schemas.openxmlformats.org/drawingml/2006/main">
                  <a:graphicData uri="http://schemas.microsoft.com/office/word/2010/wordprocessingShape">
                    <wps:wsp>
                      <wps:cNvSpPr/>
                      <wps:spPr>
                        <a:xfrm>
                          <a:off x="0" y="0"/>
                          <a:ext cx="3089910" cy="8985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330" style="position:absolute;margin-left:351.05pt;margin-top:1pt;width:243.3pt;height:70.7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c00000" stroked="f" strokeweight="1pt" w14:anchorId="7B12D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">
                <w10:wrap anchorx="page"/>
              </v:rect>
            </w:pict>
          </mc:Fallback>
        </mc:AlternateContent>
      </w:r>
      <w:r w:rsidRPr="00FF049C">
        <w:rPr>
          <w:b/>
          <w:bCs/>
          <w:noProof/>
        </w:rPr>
        <w:drawing>
          <wp:anchor distT="0" distB="0" distL="114300" distR="114300" simplePos="0" relativeHeight="251662336" behindDoc="0" locked="0" layoutInCell="1" allowOverlap="1" wp14:anchorId="130065B6" wp14:editId="5B56175E">
            <wp:simplePos x="0" y="0"/>
            <wp:positionH relativeFrom="column">
              <wp:posOffset>3663315</wp:posOffset>
            </wp:positionH>
            <wp:positionV relativeFrom="paragraph">
              <wp:posOffset>138430</wp:posOffset>
            </wp:positionV>
            <wp:extent cx="2667872" cy="707982"/>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logotxt_high_tra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872" cy="707982"/>
                    </a:xfrm>
                    <a:prstGeom prst="rect">
                      <a:avLst/>
                    </a:prstGeom>
                  </pic:spPr>
                </pic:pic>
              </a:graphicData>
            </a:graphic>
            <wp14:sizeRelH relativeFrom="page">
              <wp14:pctWidth>0</wp14:pctWidth>
            </wp14:sizeRelH>
            <wp14:sizeRelV relativeFrom="page">
              <wp14:pctHeight>0</wp14:pctHeight>
            </wp14:sizeRelV>
          </wp:anchor>
        </w:drawing>
      </w:r>
    </w:p>
    <w:p w14:paraId="54DE4857" w14:textId="1FBCDEE6" w:rsidR="00FF049C" w:rsidRDefault="00FF049C" w:rsidP="12930BB3">
      <w:pPr>
        <w:pStyle w:val="Titre1"/>
        <w:rPr>
          <w:b/>
          <w:bCs/>
        </w:rPr>
      </w:pPr>
    </w:p>
    <w:p w14:paraId="0990FB22" w14:textId="061DD9D8" w:rsidR="00FF049C" w:rsidRDefault="00FF049C" w:rsidP="12930BB3">
      <w:pPr>
        <w:pStyle w:val="Titre1"/>
        <w:rPr>
          <w:b/>
          <w:bCs/>
        </w:rPr>
      </w:pPr>
    </w:p>
    <w:p w14:paraId="68FD0540" w14:textId="77777777" w:rsidR="00FF049C" w:rsidRDefault="00FF049C" w:rsidP="12930BB3">
      <w:pPr>
        <w:pStyle w:val="Titre1"/>
        <w:rPr>
          <w:b/>
          <w:bCs/>
        </w:rPr>
      </w:pPr>
    </w:p>
    <w:p w14:paraId="2774B64A" w14:textId="4E5F18F6" w:rsidR="00C23C9D" w:rsidRPr="00C23C9D" w:rsidRDefault="0BE63F1D" w:rsidP="0BE63F1D">
      <w:pPr>
        <w:pStyle w:val="Titre1"/>
        <w:rPr>
          <w:b/>
          <w:bCs/>
        </w:rPr>
      </w:pPr>
      <w:r w:rsidRPr="0BE63F1D">
        <w:rPr>
          <w:b/>
          <w:bCs/>
        </w:rPr>
        <w:t>Recommendations from the Education International Conference "Providing Education to Refugee Children: Fast Track to Equal Opportunities and Integration"</w:t>
      </w:r>
    </w:p>
    <w:p w14:paraId="42727032" w14:textId="0008B372" w:rsidR="00C23C9D" w:rsidRPr="00C23C9D" w:rsidRDefault="00C23C9D" w:rsidP="00FF049C"/>
    <w:p w14:paraId="150DF859" w14:textId="77777777" w:rsidR="00C23C9D" w:rsidRPr="00C23C9D" w:rsidRDefault="0BE63F1D" w:rsidP="12930BB3">
      <w:pPr>
        <w:pStyle w:val="Titre1"/>
        <w:numPr>
          <w:ilvl w:val="0"/>
          <w:numId w:val="2"/>
        </w:numPr>
      </w:pPr>
      <w:r>
        <w:t>Achieving the Right to Quality Education</w:t>
      </w:r>
      <w:bookmarkEnd w:id="1"/>
    </w:p>
    <w:p w14:paraId="6BF0FB7B" w14:textId="77777777" w:rsidR="006C2200" w:rsidRDefault="006C2200" w:rsidP="00C23C9D">
      <w:pPr>
        <w:pStyle w:val="Titre3"/>
        <w:rPr>
          <w:rFonts w:ascii="Tahoma" w:hAnsi="Tahoma" w:cs="Tahoma"/>
          <w:sz w:val="20"/>
          <w:szCs w:val="20"/>
        </w:rPr>
      </w:pPr>
      <w:bookmarkStart w:id="2" w:name="_Toc470031641"/>
    </w:p>
    <w:p w14:paraId="33C9F40F" w14:textId="781316F6" w:rsidR="00C23C9D" w:rsidRPr="00FF049C" w:rsidRDefault="0BE63F1D" w:rsidP="0BE63F1D">
      <w:pPr>
        <w:pStyle w:val="Titre2"/>
        <w:rPr>
          <w:b/>
          <w:bCs/>
          <w:color w:val="5B9BD5" w:themeColor="accent5"/>
          <w:sz w:val="32"/>
          <w:szCs w:val="32"/>
        </w:rPr>
      </w:pPr>
      <w:r w:rsidRPr="0BE63F1D">
        <w:rPr>
          <w:b/>
          <w:bCs/>
          <w:color w:val="5B9BD5" w:themeColor="accent5"/>
          <w:sz w:val="32"/>
          <w:szCs w:val="32"/>
        </w:rPr>
        <w:t>Role of National Public School System</w:t>
      </w:r>
      <w:bookmarkEnd w:id="2"/>
    </w:p>
    <w:p w14:paraId="65A4AC81" w14:textId="79A0B274"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Education is a human right and should be provided to all children for free by the governments. If private sector actors have a role it must be strictly regulated.</w:t>
      </w:r>
    </w:p>
    <w:p w14:paraId="797AAE85" w14:textId="6DC16055"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Make sure refugees have access to information ABOUT the education system.</w:t>
      </w:r>
    </w:p>
    <w:p w14:paraId="72862677" w14:textId="4421A2B2"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Make sure refugees have access to education at their own level of learning. Both </w:t>
      </w:r>
      <w:r w:rsidR="00801221" w:rsidRPr="0BE63F1D">
        <w:rPr>
          <w:rFonts w:asciiTheme="majorHAnsi" w:eastAsiaTheme="majorEastAsia" w:hAnsiTheme="majorHAnsi" w:cstheme="majorBidi"/>
          <w:sz w:val="20"/>
          <w:szCs w:val="20"/>
        </w:rPr>
        <w:t>children</w:t>
      </w:r>
      <w:r w:rsidRPr="0BE63F1D">
        <w:rPr>
          <w:rFonts w:asciiTheme="majorHAnsi" w:eastAsiaTheme="majorEastAsia" w:hAnsiTheme="majorHAnsi" w:cstheme="majorBidi"/>
          <w:sz w:val="20"/>
          <w:szCs w:val="20"/>
        </w:rPr>
        <w:t>, youth and adults.</w:t>
      </w:r>
    </w:p>
    <w:p w14:paraId="1F7E90B4" w14:textId="19BA1F79"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On the issue of education in transit countries</w:t>
      </w:r>
      <w:r w:rsidR="00801221" w:rsidRPr="0BE63F1D">
        <w:rPr>
          <w:rFonts w:asciiTheme="majorHAnsi" w:eastAsiaTheme="majorEastAsia" w:hAnsiTheme="majorHAnsi" w:cstheme="majorBidi"/>
          <w:sz w:val="20"/>
          <w:szCs w:val="20"/>
        </w:rPr>
        <w:t>,</w:t>
      </w:r>
      <w:r w:rsidRPr="0BE63F1D">
        <w:rPr>
          <w:rFonts w:asciiTheme="majorHAnsi" w:eastAsiaTheme="majorEastAsia" w:hAnsiTheme="majorHAnsi" w:cstheme="majorBidi"/>
          <w:sz w:val="20"/>
          <w:szCs w:val="20"/>
        </w:rPr>
        <w:t xml:space="preserve"> it is important to recruit representatives for the refugees to define what the refugees know, need and want.</w:t>
      </w:r>
    </w:p>
    <w:p w14:paraId="55820B67" w14:textId="5AF52B8A"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Sup</w:t>
      </w:r>
      <w:r w:rsidR="00D07258" w:rsidRPr="0BE63F1D">
        <w:rPr>
          <w:rFonts w:asciiTheme="majorHAnsi" w:eastAsiaTheme="majorEastAsia" w:hAnsiTheme="majorHAnsi" w:cstheme="majorBidi"/>
          <w:sz w:val="20"/>
          <w:szCs w:val="20"/>
        </w:rPr>
        <w:t xml:space="preserve">port the initiative to create a European Union </w:t>
      </w:r>
      <w:r w:rsidRPr="0BE63F1D">
        <w:rPr>
          <w:rFonts w:asciiTheme="majorHAnsi" w:eastAsiaTheme="majorEastAsia" w:hAnsiTheme="majorHAnsi" w:cstheme="majorBidi"/>
          <w:sz w:val="20"/>
          <w:szCs w:val="20"/>
        </w:rPr>
        <w:t>committee for the refugee education</w:t>
      </w:r>
      <w:r w:rsidR="00801221" w:rsidRPr="0BE63F1D">
        <w:rPr>
          <w:rFonts w:asciiTheme="majorHAnsi" w:eastAsiaTheme="majorEastAsia" w:hAnsiTheme="majorHAnsi" w:cstheme="majorBidi"/>
          <w:sz w:val="20"/>
          <w:szCs w:val="20"/>
        </w:rPr>
        <w:t>.</w:t>
      </w:r>
    </w:p>
    <w:p w14:paraId="78FC493A" w14:textId="344414EB"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 </w:t>
      </w:r>
      <w:r w:rsidR="00FF049C" w:rsidRPr="00FF049C">
        <w:rPr>
          <w:rFonts w:asciiTheme="majorHAnsi" w:hAnsiTheme="majorHAnsi" w:cstheme="majorHAnsi"/>
          <w:sz w:val="20"/>
          <w:szCs w:val="20"/>
        </w:rPr>
        <w:tab/>
      </w:r>
      <w:r w:rsidRPr="0BE63F1D">
        <w:rPr>
          <w:rFonts w:asciiTheme="majorHAnsi" w:eastAsiaTheme="majorEastAsia" w:hAnsiTheme="majorHAnsi" w:cstheme="majorBidi"/>
          <w:sz w:val="20"/>
          <w:szCs w:val="20"/>
        </w:rPr>
        <w:t>Financing of education should be prioritized and governments must be supporting teachers and building and supporting teacher competence.</w:t>
      </w:r>
    </w:p>
    <w:p w14:paraId="01923BF9" w14:textId="77777777" w:rsidR="00C23C9D" w:rsidRPr="00FF049C" w:rsidRDefault="00C23C9D" w:rsidP="0BE63F1D">
      <w:pPr>
        <w:pStyle w:val="Titre2"/>
        <w:rPr>
          <w:b/>
          <w:bCs/>
          <w:color w:val="5B9BD5" w:themeColor="accent5"/>
          <w:sz w:val="32"/>
          <w:szCs w:val="32"/>
        </w:rPr>
      </w:pPr>
      <w:bookmarkStart w:id="3" w:name="_Toc470031642"/>
      <w:r w:rsidRPr="0BE63F1D">
        <w:rPr>
          <w:b/>
          <w:bCs/>
          <w:color w:val="5B9BD5" w:themeColor="accent5"/>
          <w:sz w:val="32"/>
          <w:szCs w:val="32"/>
        </w:rPr>
        <w:t>Opening doors to Further and Higher Education</w:t>
      </w:r>
      <w:bookmarkEnd w:id="3"/>
    </w:p>
    <w:p w14:paraId="62136359" w14:textId="20138FFC"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 </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Trust the professionals and give the teachers the mandate to assess prior learning.</w:t>
      </w:r>
    </w:p>
    <w:p w14:paraId="1CD72766" w14:textId="14105C1A"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8</w:t>
      </w:r>
      <w:r w:rsidR="00801221" w:rsidRPr="0BE63F1D">
        <w:rPr>
          <w:rFonts w:asciiTheme="majorHAnsi" w:eastAsiaTheme="majorEastAsia" w:hAnsiTheme="majorHAnsi" w:cstheme="majorBidi"/>
          <w:sz w:val="20"/>
          <w:szCs w:val="20"/>
        </w:rPr>
        <w:t xml:space="preserve">. </w:t>
      </w:r>
      <w:r w:rsidR="00FF049C">
        <w:rPr>
          <w:rFonts w:asciiTheme="majorHAnsi" w:hAnsiTheme="majorHAnsi" w:cstheme="majorHAnsi"/>
          <w:sz w:val="20"/>
          <w:szCs w:val="20"/>
        </w:rPr>
        <w:tab/>
      </w:r>
      <w:r w:rsidR="00801221" w:rsidRPr="0BE63F1D">
        <w:rPr>
          <w:rFonts w:asciiTheme="majorHAnsi" w:eastAsiaTheme="majorEastAsia" w:hAnsiTheme="majorHAnsi" w:cstheme="majorBidi"/>
          <w:sz w:val="20"/>
          <w:szCs w:val="20"/>
        </w:rPr>
        <w:t>Regarding e</w:t>
      </w:r>
      <w:r w:rsidRPr="0BE63F1D">
        <w:rPr>
          <w:rFonts w:asciiTheme="majorHAnsi" w:eastAsiaTheme="majorEastAsia" w:hAnsiTheme="majorHAnsi" w:cstheme="majorBidi"/>
          <w:sz w:val="20"/>
          <w:szCs w:val="20"/>
        </w:rPr>
        <w:t xml:space="preserve">-Learning, make sure that </w:t>
      </w:r>
      <w:r w:rsidR="00801221" w:rsidRPr="0BE63F1D">
        <w:rPr>
          <w:rFonts w:asciiTheme="majorHAnsi" w:eastAsiaTheme="majorEastAsia" w:hAnsiTheme="majorHAnsi" w:cstheme="majorBidi"/>
          <w:sz w:val="20"/>
          <w:szCs w:val="20"/>
        </w:rPr>
        <w:t>t</w:t>
      </w:r>
      <w:r w:rsidRPr="0BE63F1D">
        <w:rPr>
          <w:rFonts w:asciiTheme="majorHAnsi" w:eastAsiaTheme="majorEastAsia" w:hAnsiTheme="majorHAnsi" w:cstheme="majorBidi"/>
          <w:sz w:val="20"/>
          <w:szCs w:val="20"/>
        </w:rPr>
        <w:t>here is skilled support (technical and content) and an infrastructure that works.</w:t>
      </w:r>
    </w:p>
    <w:p w14:paraId="050F3FBC" w14:textId="77777777" w:rsidR="00C23C9D" w:rsidRPr="00FF049C" w:rsidRDefault="00C23C9D" w:rsidP="0BE63F1D">
      <w:pPr>
        <w:pStyle w:val="Titre2"/>
      </w:pPr>
      <w:bookmarkStart w:id="4" w:name="_Toc470031643"/>
      <w:r w:rsidRPr="0BE63F1D">
        <w:rPr>
          <w:b/>
          <w:bCs/>
          <w:color w:val="5B9BD5" w:themeColor="accent5"/>
          <w:sz w:val="32"/>
          <w:szCs w:val="32"/>
        </w:rPr>
        <w:lastRenderedPageBreak/>
        <w:t>The Disadvantaged among the Disadvantaged</w:t>
      </w:r>
      <w:bookmarkEnd w:id="4"/>
    </w:p>
    <w:p w14:paraId="350CD44F" w14:textId="69F9BA06"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9. </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provide </w:t>
      </w:r>
      <w:r w:rsidR="00FE2C2D">
        <w:rPr>
          <w:rFonts w:asciiTheme="majorHAnsi" w:eastAsiaTheme="majorEastAsia" w:hAnsiTheme="majorHAnsi" w:cstheme="majorBidi"/>
          <w:sz w:val="20"/>
          <w:szCs w:val="20"/>
        </w:rPr>
        <w:t xml:space="preserve"> </w:t>
      </w:r>
      <w:bookmarkStart w:id="5" w:name="_GoBack"/>
      <w:bookmarkEnd w:id="5"/>
      <w:r w:rsidRPr="0BE63F1D">
        <w:rPr>
          <w:rFonts w:asciiTheme="majorHAnsi" w:eastAsiaTheme="majorEastAsia" w:hAnsiTheme="majorHAnsi" w:cstheme="majorBidi"/>
          <w:sz w:val="20"/>
          <w:szCs w:val="20"/>
        </w:rPr>
        <w:t xml:space="preserve"> assessment at the earliest opportunity possible with corresponding individual education plans and appropriate support.</w:t>
      </w:r>
    </w:p>
    <w:p w14:paraId="48399957" w14:textId="1FCB5DEB"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10. </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maintain pressure on national governments to implement complex strategy for girls’ education including:</w:t>
      </w:r>
    </w:p>
    <w:p w14:paraId="64BC72BF" w14:textId="08A05D06" w:rsidR="00C23C9D" w:rsidRPr="00FF049C" w:rsidRDefault="00C23C9D" w:rsidP="0BE63F1D">
      <w:pPr>
        <w:ind w:left="2127" w:hanging="284"/>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a. </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working with families to address cultural, economic and political barriers (e.g. early/forced marriages);</w:t>
      </w:r>
    </w:p>
    <w:p w14:paraId="2C8B08EB" w14:textId="5410AC7D" w:rsidR="00C23C9D" w:rsidRPr="00FF049C" w:rsidRDefault="00C23C9D" w:rsidP="0BE63F1D">
      <w:pPr>
        <w:ind w:left="2127" w:hanging="284"/>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b. </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to encourage young women/girls participation in education;</w:t>
      </w:r>
    </w:p>
    <w:p w14:paraId="6CE1D8B0" w14:textId="7C1F963C" w:rsidR="00C23C9D" w:rsidRPr="00FF049C" w:rsidRDefault="00C23C9D" w:rsidP="0BE63F1D">
      <w:pPr>
        <w:ind w:left="2127" w:hanging="284"/>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c.</w:t>
      </w:r>
      <w:r w:rsidR="00FF049C">
        <w:rPr>
          <w:rFonts w:asciiTheme="majorHAnsi" w:hAnsiTheme="majorHAnsi" w:cstheme="majorHAnsi"/>
          <w:sz w:val="20"/>
          <w:szCs w:val="20"/>
        </w:rPr>
        <w:tab/>
      </w:r>
      <w:r w:rsidRPr="0BE63F1D">
        <w:rPr>
          <w:rFonts w:asciiTheme="majorHAnsi" w:eastAsiaTheme="majorEastAsia" w:hAnsiTheme="majorHAnsi" w:cstheme="majorBidi"/>
          <w:sz w:val="20"/>
          <w:szCs w:val="20"/>
        </w:rPr>
        <w:t>financing adequate sanitary facilities not only in the refugee camps but in every transit and host country.</w:t>
      </w:r>
    </w:p>
    <w:p w14:paraId="2F42D66B" w14:textId="15E3B156"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11</w:t>
      </w:r>
      <w:r w:rsidR="00801221" w:rsidRPr="0BE63F1D">
        <w:rPr>
          <w:rFonts w:asciiTheme="majorHAnsi" w:eastAsiaTheme="majorEastAsia" w:hAnsiTheme="majorHAnsi" w:cstheme="majorBidi"/>
          <w:sz w:val="20"/>
          <w:szCs w:val="20"/>
        </w:rPr>
        <w:t xml:space="preserve">. </w:t>
      </w:r>
      <w:r w:rsidR="00FF049C">
        <w:rPr>
          <w:rFonts w:asciiTheme="majorHAnsi" w:hAnsiTheme="majorHAnsi" w:cstheme="majorHAnsi"/>
          <w:sz w:val="20"/>
          <w:szCs w:val="20"/>
        </w:rPr>
        <w:tab/>
      </w:r>
      <w:r w:rsidR="00801221" w:rsidRPr="0BE63F1D">
        <w:rPr>
          <w:rFonts w:asciiTheme="majorHAnsi" w:eastAsiaTheme="majorEastAsia" w:hAnsiTheme="majorHAnsi" w:cstheme="majorBidi"/>
          <w:sz w:val="20"/>
          <w:szCs w:val="20"/>
        </w:rPr>
        <w:t>create opportunities and time</w:t>
      </w:r>
      <w:r w:rsidRPr="0BE63F1D">
        <w:rPr>
          <w:rFonts w:asciiTheme="majorHAnsi" w:eastAsiaTheme="majorEastAsia" w:hAnsiTheme="majorHAnsi" w:cstheme="majorBidi"/>
          <w:sz w:val="20"/>
          <w:szCs w:val="20"/>
        </w:rPr>
        <w:t xml:space="preserve"> for sensitive, appropriate effective communication between teachers/schools and other agencies, and refugee children and their families; for teachers to share learning and best practice with one another thereafter.</w:t>
      </w:r>
    </w:p>
    <w:p w14:paraId="322891BA" w14:textId="77777777" w:rsidR="00C23C9D" w:rsidRPr="00FF049C" w:rsidRDefault="00C23C9D" w:rsidP="0BE63F1D">
      <w:pPr>
        <w:pStyle w:val="Titre2"/>
        <w:rPr>
          <w:b/>
          <w:bCs/>
          <w:color w:val="5B9BD5" w:themeColor="accent5"/>
          <w:sz w:val="32"/>
          <w:szCs w:val="32"/>
        </w:rPr>
      </w:pPr>
      <w:bookmarkStart w:id="6" w:name="_Toc470031644"/>
      <w:r w:rsidRPr="0BE63F1D">
        <w:rPr>
          <w:b/>
          <w:bCs/>
          <w:color w:val="5B9BD5" w:themeColor="accent5"/>
          <w:sz w:val="32"/>
          <w:szCs w:val="32"/>
        </w:rPr>
        <w:t xml:space="preserve">Preventing Young People </w:t>
      </w:r>
      <w:r w:rsidR="00801221" w:rsidRPr="0BE63F1D">
        <w:rPr>
          <w:b/>
          <w:bCs/>
          <w:color w:val="5B9BD5" w:themeColor="accent5"/>
          <w:sz w:val="32"/>
          <w:szCs w:val="32"/>
        </w:rPr>
        <w:t xml:space="preserve">from </w:t>
      </w:r>
      <w:r w:rsidRPr="0BE63F1D">
        <w:rPr>
          <w:b/>
          <w:bCs/>
          <w:color w:val="5B9BD5" w:themeColor="accent5"/>
          <w:sz w:val="32"/>
          <w:szCs w:val="32"/>
        </w:rPr>
        <w:t>Going Astray</w:t>
      </w:r>
      <w:bookmarkEnd w:id="6"/>
    </w:p>
    <w:p w14:paraId="596B51A7" w14:textId="4159ECB9"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12. </w:t>
      </w:r>
      <w:r w:rsidR="007935EF">
        <w:rPr>
          <w:rFonts w:asciiTheme="majorHAnsi" w:hAnsiTheme="majorHAnsi" w:cstheme="majorHAnsi"/>
          <w:sz w:val="20"/>
          <w:szCs w:val="20"/>
        </w:rPr>
        <w:tab/>
      </w:r>
      <w:r w:rsidR="00B3596F" w:rsidRPr="0BE63F1D">
        <w:rPr>
          <w:rFonts w:asciiTheme="majorHAnsi" w:eastAsiaTheme="majorEastAsia" w:hAnsiTheme="majorHAnsi" w:cstheme="majorBidi"/>
          <w:sz w:val="20"/>
          <w:szCs w:val="20"/>
        </w:rPr>
        <w:t>EI</w:t>
      </w:r>
      <w:r w:rsidRPr="0BE63F1D">
        <w:rPr>
          <w:rFonts w:asciiTheme="majorHAnsi" w:eastAsiaTheme="majorEastAsia" w:hAnsiTheme="majorHAnsi" w:cstheme="majorBidi"/>
          <w:sz w:val="20"/>
          <w:szCs w:val="20"/>
        </w:rPr>
        <w:t xml:space="preserve"> and education unions should promote and a</w:t>
      </w:r>
      <w:r w:rsidR="00801221" w:rsidRPr="0BE63F1D">
        <w:rPr>
          <w:rFonts w:asciiTheme="majorHAnsi" w:eastAsiaTheme="majorEastAsia" w:hAnsiTheme="majorHAnsi" w:cstheme="majorBidi"/>
          <w:sz w:val="20"/>
          <w:szCs w:val="20"/>
        </w:rPr>
        <w:t>dvocate for Global Citizenship E</w:t>
      </w:r>
      <w:r w:rsidRPr="0BE63F1D">
        <w:rPr>
          <w:rFonts w:asciiTheme="majorHAnsi" w:eastAsiaTheme="majorEastAsia" w:hAnsiTheme="majorHAnsi" w:cstheme="majorBidi"/>
          <w:sz w:val="20"/>
          <w:szCs w:val="20"/>
        </w:rPr>
        <w:t>ducation that fosters the val</w:t>
      </w:r>
      <w:r w:rsidR="00801221" w:rsidRPr="0BE63F1D">
        <w:rPr>
          <w:rFonts w:asciiTheme="majorHAnsi" w:eastAsiaTheme="majorEastAsia" w:hAnsiTheme="majorHAnsi" w:cstheme="majorBidi"/>
          <w:sz w:val="20"/>
          <w:szCs w:val="20"/>
        </w:rPr>
        <w:t>ues of human rights, democracy</w:t>
      </w:r>
      <w:r w:rsidRPr="0BE63F1D">
        <w:rPr>
          <w:rFonts w:asciiTheme="majorHAnsi" w:eastAsiaTheme="majorEastAsia" w:hAnsiTheme="majorHAnsi" w:cstheme="majorBidi"/>
          <w:sz w:val="20"/>
          <w:szCs w:val="20"/>
        </w:rPr>
        <w:t xml:space="preserve">, intercultural understanding and solidarity </w:t>
      </w:r>
      <w:r w:rsidR="00801221" w:rsidRPr="0BE63F1D">
        <w:rPr>
          <w:rFonts w:asciiTheme="majorHAnsi" w:eastAsiaTheme="majorEastAsia" w:hAnsiTheme="majorHAnsi" w:cstheme="majorBidi"/>
          <w:sz w:val="20"/>
          <w:szCs w:val="20"/>
        </w:rPr>
        <w:t>for</w:t>
      </w:r>
      <w:r w:rsidRPr="0BE63F1D">
        <w:rPr>
          <w:rFonts w:asciiTheme="majorHAnsi" w:eastAsiaTheme="majorEastAsia" w:hAnsiTheme="majorHAnsi" w:cstheme="majorBidi"/>
          <w:sz w:val="20"/>
          <w:szCs w:val="20"/>
        </w:rPr>
        <w:t xml:space="preserve"> all education levels throug</w:t>
      </w:r>
      <w:r w:rsidR="00801221" w:rsidRPr="0BE63F1D">
        <w:rPr>
          <w:rFonts w:asciiTheme="majorHAnsi" w:eastAsiaTheme="majorEastAsia" w:hAnsiTheme="majorHAnsi" w:cstheme="majorBidi"/>
          <w:sz w:val="20"/>
          <w:szCs w:val="20"/>
        </w:rPr>
        <w:t>h a learner-centred, practice-</w:t>
      </w:r>
      <w:r w:rsidRPr="0BE63F1D">
        <w:rPr>
          <w:rFonts w:asciiTheme="majorHAnsi" w:eastAsiaTheme="majorEastAsia" w:hAnsiTheme="majorHAnsi" w:cstheme="majorBidi"/>
          <w:sz w:val="20"/>
          <w:szCs w:val="20"/>
        </w:rPr>
        <w:t>oriented approach.</w:t>
      </w:r>
    </w:p>
    <w:p w14:paraId="05285FA5" w14:textId="436C5927" w:rsidR="00C23C9D" w:rsidRDefault="006C2200"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EI </w:t>
      </w:r>
      <w:r w:rsidR="00801221" w:rsidRPr="0BE63F1D">
        <w:rPr>
          <w:rFonts w:asciiTheme="majorHAnsi" w:eastAsiaTheme="majorEastAsia" w:hAnsiTheme="majorHAnsi" w:cstheme="majorBidi"/>
          <w:sz w:val="20"/>
          <w:szCs w:val="20"/>
        </w:rPr>
        <w:t>and education</w:t>
      </w:r>
      <w:r w:rsidR="00C23C9D" w:rsidRPr="0BE63F1D">
        <w:rPr>
          <w:rFonts w:asciiTheme="majorHAnsi" w:eastAsiaTheme="majorEastAsia" w:hAnsiTheme="majorHAnsi" w:cstheme="majorBidi"/>
          <w:sz w:val="20"/>
          <w:szCs w:val="20"/>
        </w:rPr>
        <w:t xml:space="preserve"> unions should advocate for equal access for all young people to their social and economic rights, including social and health service provision at education institutions, in order to prevent young people going astray.</w:t>
      </w:r>
    </w:p>
    <w:p w14:paraId="2EA515EB" w14:textId="77777777" w:rsidR="00147B37" w:rsidRPr="00FF049C" w:rsidRDefault="00147B37" w:rsidP="00FF049C">
      <w:pPr>
        <w:ind w:left="1843" w:hanging="1843"/>
        <w:rPr>
          <w:rFonts w:asciiTheme="majorHAnsi" w:hAnsiTheme="majorHAnsi" w:cstheme="majorHAnsi"/>
          <w:sz w:val="20"/>
          <w:szCs w:val="20"/>
        </w:rPr>
      </w:pPr>
    </w:p>
    <w:p w14:paraId="78E9E699" w14:textId="77777777" w:rsidR="00C23C9D" w:rsidRPr="00FF049C" w:rsidRDefault="00C23C9D" w:rsidP="0BE63F1D">
      <w:pPr>
        <w:pStyle w:val="Titre1"/>
        <w:numPr>
          <w:ilvl w:val="0"/>
          <w:numId w:val="2"/>
        </w:numPr>
      </w:pPr>
      <w:bookmarkStart w:id="7" w:name="_Working_Group_B"/>
      <w:bookmarkStart w:id="8" w:name="_Toc470031645"/>
      <w:bookmarkEnd w:id="7"/>
      <w:r w:rsidRPr="0BE63F1D">
        <w:t>Supporting Teachers</w:t>
      </w:r>
      <w:bookmarkEnd w:id="8"/>
    </w:p>
    <w:p w14:paraId="7DE1ABD0" w14:textId="77777777" w:rsidR="00147B37" w:rsidRDefault="00147B37" w:rsidP="00147B37">
      <w:pPr>
        <w:pStyle w:val="Titre3"/>
        <w:rPr>
          <w:rFonts w:ascii="Tahoma" w:hAnsi="Tahoma" w:cs="Tahoma"/>
          <w:sz w:val="20"/>
          <w:szCs w:val="20"/>
        </w:rPr>
      </w:pPr>
      <w:bookmarkStart w:id="9" w:name="_Toc470031646"/>
    </w:p>
    <w:p w14:paraId="04CE204A" w14:textId="5589388F" w:rsidR="00C23C9D" w:rsidRPr="00FF049C" w:rsidRDefault="0BE63F1D" w:rsidP="0BE63F1D">
      <w:pPr>
        <w:pStyle w:val="Titre2"/>
        <w:rPr>
          <w:b/>
          <w:bCs/>
          <w:color w:val="5B9BD5" w:themeColor="accent5"/>
          <w:sz w:val="32"/>
          <w:szCs w:val="32"/>
        </w:rPr>
      </w:pPr>
      <w:r w:rsidRPr="0BE63F1D">
        <w:rPr>
          <w:b/>
          <w:bCs/>
          <w:color w:val="5B9BD5" w:themeColor="accent5"/>
          <w:sz w:val="32"/>
          <w:szCs w:val="32"/>
        </w:rPr>
        <w:t xml:space="preserve"> Addressing Teachers’ Shortages</w:t>
      </w:r>
      <w:bookmarkEnd w:id="9"/>
    </w:p>
    <w:p w14:paraId="4BE4D79B" w14:textId="52D82F5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multiple pathways into teaching, including opportunities for career switchers, with appropriate support so those entering the profession are adequately prepared.</w:t>
      </w:r>
    </w:p>
    <w:p w14:paraId="25302F99" w14:textId="77D5892F" w:rsidR="00C23C9D" w:rsidRPr="00FF049C"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Provide compensation to those teachers working with refugee students.</w:t>
      </w:r>
    </w:p>
    <w:p w14:paraId="449ED5B3" w14:textId="0E4FC3B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Provide extra support for studen</w:t>
      </w:r>
      <w:r w:rsidR="00B3596F" w:rsidRPr="0BE63F1D">
        <w:rPr>
          <w:rFonts w:asciiTheme="majorHAnsi" w:eastAsiaTheme="majorEastAsia" w:hAnsiTheme="majorHAnsi" w:cstheme="majorBidi"/>
          <w:sz w:val="20"/>
          <w:szCs w:val="20"/>
        </w:rPr>
        <w:t>ts in high levels of need, who</w:t>
      </w:r>
      <w:r w:rsidRPr="0BE63F1D">
        <w:rPr>
          <w:rFonts w:asciiTheme="majorHAnsi" w:eastAsiaTheme="majorEastAsia" w:hAnsiTheme="majorHAnsi" w:cstheme="majorBidi"/>
          <w:sz w:val="20"/>
          <w:szCs w:val="20"/>
        </w:rPr>
        <w:t xml:space="preserve"> may require lower student teacher </w:t>
      </w:r>
      <w:r w:rsidR="00B3596F" w:rsidRPr="0BE63F1D">
        <w:rPr>
          <w:rFonts w:asciiTheme="majorHAnsi" w:eastAsiaTheme="majorEastAsia" w:hAnsiTheme="majorHAnsi" w:cstheme="majorBidi"/>
          <w:sz w:val="20"/>
          <w:szCs w:val="20"/>
        </w:rPr>
        <w:t>ratio</w:t>
      </w:r>
      <w:r w:rsidRPr="0BE63F1D">
        <w:rPr>
          <w:rFonts w:asciiTheme="majorHAnsi" w:eastAsiaTheme="majorEastAsia" w:hAnsiTheme="majorHAnsi" w:cstheme="majorBidi"/>
          <w:sz w:val="20"/>
          <w:szCs w:val="20"/>
        </w:rPr>
        <w:t>.</w:t>
      </w:r>
    </w:p>
    <w:p w14:paraId="1C791B0E" w14:textId="61A01B81"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Allow temporary employment of volunteers and casual teachers.</w:t>
      </w:r>
    </w:p>
    <w:p w14:paraId="6D0FB88E" w14:textId="77777777" w:rsidR="00C23C9D" w:rsidRPr="00FF049C" w:rsidRDefault="00C23C9D" w:rsidP="0BE63F1D">
      <w:pPr>
        <w:pStyle w:val="Titre2"/>
      </w:pPr>
      <w:bookmarkStart w:id="10" w:name="_Toc470031647"/>
      <w:r w:rsidRPr="0BE63F1D">
        <w:rPr>
          <w:b/>
          <w:bCs/>
          <w:color w:val="5B9BD5" w:themeColor="accent5"/>
          <w:sz w:val="32"/>
          <w:szCs w:val="32"/>
        </w:rPr>
        <w:t xml:space="preserve">Teaching in Refugee </w:t>
      </w:r>
      <w:proofErr w:type="spellStart"/>
      <w:r w:rsidRPr="0BE63F1D">
        <w:rPr>
          <w:b/>
          <w:bCs/>
          <w:color w:val="5B9BD5" w:themeColor="accent5"/>
          <w:sz w:val="32"/>
          <w:szCs w:val="32"/>
        </w:rPr>
        <w:t>Centers</w:t>
      </w:r>
      <w:bookmarkEnd w:id="10"/>
      <w:proofErr w:type="spellEnd"/>
    </w:p>
    <w:p w14:paraId="0F2822F0" w14:textId="07123C4D"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18.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Develop a supportive policy framework </w:t>
      </w:r>
      <w:r w:rsidR="002B6897" w:rsidRPr="0BE63F1D">
        <w:rPr>
          <w:rFonts w:asciiTheme="majorHAnsi" w:eastAsiaTheme="majorEastAsia" w:hAnsiTheme="majorHAnsi" w:cstheme="majorBidi"/>
          <w:sz w:val="20"/>
          <w:szCs w:val="20"/>
        </w:rPr>
        <w:t>for</w:t>
      </w:r>
      <w:r w:rsidRPr="0BE63F1D">
        <w:rPr>
          <w:rFonts w:asciiTheme="majorHAnsi" w:eastAsiaTheme="majorEastAsia" w:hAnsiTheme="majorHAnsi" w:cstheme="majorBidi"/>
          <w:sz w:val="20"/>
          <w:szCs w:val="20"/>
        </w:rPr>
        <w:t xml:space="preserve"> voluntary teachers, contract teachers and casual teachers to </w:t>
      </w:r>
      <w:r w:rsidR="002B6897" w:rsidRPr="0BE63F1D">
        <w:rPr>
          <w:rFonts w:asciiTheme="majorHAnsi" w:eastAsiaTheme="majorEastAsia" w:hAnsiTheme="majorHAnsi" w:cstheme="majorBidi"/>
          <w:sz w:val="20"/>
          <w:szCs w:val="20"/>
        </w:rPr>
        <w:t>mitigate</w:t>
      </w:r>
      <w:r w:rsidRPr="0BE63F1D">
        <w:rPr>
          <w:rFonts w:asciiTheme="majorHAnsi" w:eastAsiaTheme="majorEastAsia" w:hAnsiTheme="majorHAnsi" w:cstheme="majorBidi"/>
          <w:sz w:val="20"/>
          <w:szCs w:val="20"/>
        </w:rPr>
        <w:t xml:space="preserve"> the large demand for teachers in these settings and allow the recruitment of more teachers and the integration of qualified refugee teachers.</w:t>
      </w:r>
    </w:p>
    <w:p w14:paraId="11D114B3" w14:textId="6566F12E"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lastRenderedPageBreak/>
        <w:t xml:space="preserve">Recommendation 19.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participatory processes in the camps with the involvement of key stakeholders, including refugee students, parents, teachers and support staff to identify needs and develop a contextually relevant strategy which mobilizes existing assets in the camp</w:t>
      </w:r>
      <w:r w:rsidR="002B6897" w:rsidRPr="0BE63F1D">
        <w:rPr>
          <w:rFonts w:asciiTheme="majorHAnsi" w:eastAsiaTheme="majorEastAsia" w:hAnsiTheme="majorHAnsi" w:cstheme="majorBidi"/>
          <w:sz w:val="20"/>
          <w:szCs w:val="20"/>
        </w:rPr>
        <w:t>s</w:t>
      </w:r>
      <w:r w:rsidRPr="0BE63F1D">
        <w:rPr>
          <w:rFonts w:asciiTheme="majorHAnsi" w:eastAsiaTheme="majorEastAsia" w:hAnsiTheme="majorHAnsi" w:cstheme="majorBidi"/>
          <w:sz w:val="20"/>
          <w:szCs w:val="20"/>
        </w:rPr>
        <w:t>.</w:t>
      </w:r>
    </w:p>
    <w:p w14:paraId="1D13E3C2" w14:textId="2CC55A64"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20.</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Map existing resources in the camp which can support education of refugee children, including space, personnel, opportunities for community partnerships and that recognize and build the agency of refugees themselves and empowers them. Adopt an ap</w:t>
      </w:r>
      <w:r w:rsidR="002B6897" w:rsidRPr="0BE63F1D">
        <w:rPr>
          <w:rFonts w:asciiTheme="majorHAnsi" w:eastAsiaTheme="majorEastAsia" w:hAnsiTheme="majorHAnsi" w:cstheme="majorBidi"/>
          <w:sz w:val="20"/>
          <w:szCs w:val="20"/>
        </w:rPr>
        <w:t>preciative inquiry mindset, look</w:t>
      </w:r>
      <w:r w:rsidRPr="0BE63F1D">
        <w:rPr>
          <w:rFonts w:asciiTheme="majorHAnsi" w:eastAsiaTheme="majorEastAsia" w:hAnsiTheme="majorHAnsi" w:cstheme="majorBidi"/>
          <w:sz w:val="20"/>
          <w:szCs w:val="20"/>
        </w:rPr>
        <w:t xml:space="preserve"> for things that are positive and good in the setting.</w:t>
      </w:r>
    </w:p>
    <w:p w14:paraId="1F153CF4" w14:textId="2A2970F1"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multidisciplinary approaches to teaching that enable teachers to teach out of field and across the curriculum.</w:t>
      </w:r>
    </w:p>
    <w:p w14:paraId="0CD02E51" w14:textId="5C476858"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22.</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Review the curriculum so that it is contextually relevant, helps students develop skills that empower them in that </w:t>
      </w:r>
      <w:r w:rsidR="002B6897" w:rsidRPr="0BE63F1D">
        <w:rPr>
          <w:rFonts w:asciiTheme="majorHAnsi" w:eastAsiaTheme="majorEastAsia" w:hAnsiTheme="majorHAnsi" w:cstheme="majorBidi"/>
          <w:sz w:val="20"/>
          <w:szCs w:val="20"/>
        </w:rPr>
        <w:t>setting and build the resilience</w:t>
      </w:r>
      <w:r w:rsidRPr="0BE63F1D">
        <w:rPr>
          <w:rFonts w:asciiTheme="majorHAnsi" w:eastAsiaTheme="majorEastAsia" w:hAnsiTheme="majorHAnsi" w:cstheme="majorBidi"/>
          <w:sz w:val="20"/>
          <w:szCs w:val="20"/>
        </w:rPr>
        <w:t xml:space="preserve"> for their continued journey until resettlement. Develop competency based curriculum that builds competencies for conflict resolution and peace building, vocational and technical skills, music and sports, life skills, including those that allow students to heal from the trauma experienced in their journey. Plan for appropriate pedagogies to help students develop those skills in ways that empower them and build their character, emotional development and cognitive skills, for example, using project based learning, engaging in problem based pedagogy, entrepreneurship education, design thinking and other approaches to build the resiliency, creativity, leadership and entrepreneurial skills of students.</w:t>
      </w:r>
    </w:p>
    <w:p w14:paraId="298D8C74" w14:textId="3A7AD82D"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Ensure availability of facilities, bathrooms, teaching materials, that can support effective deployment of the pedagogies mentioned above.</w:t>
      </w:r>
    </w:p>
    <w:p w14:paraId="36520C5E" w14:textId="2870ADE1"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Give serious consideration to integrating refugee children into mainstream schools, rather than segregating them into schools for refugees in camps or otherwise.</w:t>
      </w:r>
    </w:p>
    <w:p w14:paraId="04B13DE8" w14:textId="77777777" w:rsidR="00C23C9D" w:rsidRPr="00FF049C" w:rsidRDefault="00C23C9D" w:rsidP="0BE63F1D">
      <w:pPr>
        <w:pStyle w:val="Titre2"/>
      </w:pPr>
      <w:bookmarkStart w:id="11" w:name="_Toc470031648"/>
      <w:r w:rsidRPr="0BE63F1D">
        <w:rPr>
          <w:b/>
          <w:bCs/>
          <w:color w:val="5B9BD5" w:themeColor="accent5"/>
          <w:sz w:val="32"/>
          <w:szCs w:val="32"/>
        </w:rPr>
        <w:t>Teacher Professional Development and Support</w:t>
      </w:r>
      <w:bookmarkEnd w:id="11"/>
    </w:p>
    <w:p w14:paraId="5A5DF6E9" w14:textId="7EB88296"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25.</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Implement a whole school approach to learning and teaching that includes children and parents.</w:t>
      </w:r>
    </w:p>
    <w:p w14:paraId="61D640FA" w14:textId="06CC7309"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Provide time for professional development and to share good practices.</w:t>
      </w:r>
    </w:p>
    <w:p w14:paraId="7387AC15" w14:textId="6D686A9C"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Guarantee effective parental involvement.</w:t>
      </w:r>
    </w:p>
    <w:p w14:paraId="36E185BC" w14:textId="0D6AA136"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Establish effective involvement of teacher unions with a focus on the development of effective pedagogies and effective teacher support.</w:t>
      </w:r>
    </w:p>
    <w:p w14:paraId="04D44A8D" w14:textId="432E1C2A"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29.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Create communities of learning, using technology to document good pedagogical practices and to facilitate exchanges with teachers in schools bridging geographic distance.</w:t>
      </w:r>
    </w:p>
    <w:p w14:paraId="5F3CC11D" w14:textId="213B998A"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30. </w:t>
      </w:r>
      <w:r w:rsidR="007935EF">
        <w:rPr>
          <w:rFonts w:asciiTheme="majorHAnsi" w:hAnsiTheme="majorHAnsi" w:cstheme="majorHAnsi"/>
          <w:sz w:val="20"/>
          <w:szCs w:val="20"/>
        </w:rPr>
        <w:tab/>
      </w:r>
      <w:r w:rsidR="004C66A0" w:rsidRPr="0BE63F1D">
        <w:rPr>
          <w:rFonts w:asciiTheme="majorHAnsi" w:eastAsiaTheme="majorEastAsia" w:hAnsiTheme="majorHAnsi" w:cstheme="majorBidi"/>
          <w:sz w:val="20"/>
          <w:szCs w:val="20"/>
        </w:rPr>
        <w:t>Prioritise e</w:t>
      </w:r>
      <w:r w:rsidRPr="0BE63F1D">
        <w:rPr>
          <w:rFonts w:asciiTheme="majorHAnsi" w:eastAsiaTheme="majorEastAsia" w:hAnsiTheme="majorHAnsi" w:cstheme="majorBidi"/>
          <w:sz w:val="20"/>
          <w:szCs w:val="20"/>
        </w:rPr>
        <w:t>ffective professional development for instruction in multilingual classrooms.</w:t>
      </w:r>
    </w:p>
    <w:p w14:paraId="38C950B9" w14:textId="3E9A3D5E"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Professional development should always continue.</w:t>
      </w:r>
    </w:p>
    <w:p w14:paraId="1E2AA539" w14:textId="77777777" w:rsidR="00C23C9D" w:rsidRPr="00FF049C" w:rsidRDefault="00C23C9D" w:rsidP="0BE63F1D">
      <w:pPr>
        <w:pStyle w:val="Titre2"/>
        <w:rPr>
          <w:b/>
          <w:bCs/>
          <w:color w:val="5B9BD5" w:themeColor="accent5"/>
          <w:sz w:val="32"/>
          <w:szCs w:val="32"/>
        </w:rPr>
      </w:pPr>
      <w:bookmarkStart w:id="12" w:name="_Toc470031649"/>
      <w:r w:rsidRPr="0BE63F1D">
        <w:rPr>
          <w:b/>
          <w:bCs/>
          <w:color w:val="5B9BD5" w:themeColor="accent5"/>
          <w:sz w:val="32"/>
          <w:szCs w:val="32"/>
        </w:rPr>
        <w:lastRenderedPageBreak/>
        <w:t>Giving Refugee Teachers Work Opportunities</w:t>
      </w:r>
      <w:bookmarkEnd w:id="12"/>
    </w:p>
    <w:p w14:paraId="5F9C6C20" w14:textId="015EBB7B"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32. </w:t>
      </w:r>
      <w:r w:rsidR="007935EF">
        <w:rPr>
          <w:rFonts w:asciiTheme="majorHAnsi" w:hAnsiTheme="majorHAnsi" w:cstheme="majorHAnsi"/>
          <w:sz w:val="20"/>
          <w:szCs w:val="20"/>
        </w:rPr>
        <w:tab/>
      </w:r>
      <w:r w:rsidR="004C66A0" w:rsidRPr="0BE63F1D">
        <w:rPr>
          <w:rFonts w:asciiTheme="majorHAnsi" w:eastAsiaTheme="majorEastAsia" w:hAnsiTheme="majorHAnsi" w:cstheme="majorBidi"/>
          <w:sz w:val="20"/>
          <w:szCs w:val="20"/>
        </w:rPr>
        <w:t>Have</w:t>
      </w:r>
      <w:r w:rsidRPr="0BE63F1D">
        <w:rPr>
          <w:rFonts w:asciiTheme="majorHAnsi" w:eastAsiaTheme="majorEastAsia" w:hAnsiTheme="majorHAnsi" w:cstheme="majorBidi"/>
          <w:sz w:val="20"/>
          <w:szCs w:val="20"/>
        </w:rPr>
        <w:t xml:space="preserve"> </w:t>
      </w:r>
      <w:r w:rsidR="004C66A0" w:rsidRPr="0BE63F1D">
        <w:rPr>
          <w:rFonts w:asciiTheme="majorHAnsi" w:eastAsiaTheme="majorEastAsia" w:hAnsiTheme="majorHAnsi" w:cstheme="majorBidi"/>
          <w:sz w:val="20"/>
          <w:szCs w:val="20"/>
        </w:rPr>
        <w:t xml:space="preserve">refugee teachers </w:t>
      </w:r>
      <w:r w:rsidRPr="0BE63F1D">
        <w:rPr>
          <w:rFonts w:asciiTheme="majorHAnsi" w:eastAsiaTheme="majorEastAsia" w:hAnsiTheme="majorHAnsi" w:cstheme="majorBidi"/>
          <w:sz w:val="20"/>
          <w:szCs w:val="20"/>
        </w:rPr>
        <w:t>teach in teams with host country teachers. They can in this way serve as cultural resources to communicate with refugees, while gaining valuable experience and support that allows them to professionalize.</w:t>
      </w:r>
    </w:p>
    <w:p w14:paraId="0EECE0B8" w14:textId="25052810"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Providing mentorship and support.</w:t>
      </w:r>
    </w:p>
    <w:p w14:paraId="3075A532" w14:textId="32AB3A18"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Hire </w:t>
      </w:r>
      <w:r w:rsidR="004C66A0" w:rsidRPr="0BE63F1D">
        <w:rPr>
          <w:rFonts w:asciiTheme="majorHAnsi" w:eastAsiaTheme="majorEastAsia" w:hAnsiTheme="majorHAnsi" w:cstheme="majorBidi"/>
          <w:sz w:val="20"/>
          <w:szCs w:val="20"/>
        </w:rPr>
        <w:t xml:space="preserve">refugee teachers </w:t>
      </w:r>
      <w:r w:rsidRPr="0BE63F1D">
        <w:rPr>
          <w:rFonts w:asciiTheme="majorHAnsi" w:eastAsiaTheme="majorEastAsia" w:hAnsiTheme="majorHAnsi" w:cstheme="majorBidi"/>
          <w:sz w:val="20"/>
          <w:szCs w:val="20"/>
        </w:rPr>
        <w:t>as teacher assistants, who work under the supervision of a fully accredited teacher. It is important to protect them from potential exploitation in relationships that stall their progress towards full qualification.</w:t>
      </w:r>
    </w:p>
    <w:p w14:paraId="2C4F4B67" w14:textId="2083E75F"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Create bespoke programs, competency based, that allow multiple pathways to gaining and demonstrating the necessary competencies to receive accreditation.</w:t>
      </w:r>
    </w:p>
    <w:p w14:paraId="790C78E5" w14:textId="356471A4"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Involve teacher unions in the mobilization and development of this new teacher force.</w:t>
      </w:r>
    </w:p>
    <w:p w14:paraId="6E86D828" w14:textId="53283FC3" w:rsidR="00C23C9D"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Assist </w:t>
      </w:r>
      <w:r w:rsidR="004C66A0" w:rsidRPr="0BE63F1D">
        <w:rPr>
          <w:rFonts w:asciiTheme="majorHAnsi" w:eastAsiaTheme="majorEastAsia" w:hAnsiTheme="majorHAnsi" w:cstheme="majorBidi"/>
          <w:sz w:val="20"/>
          <w:szCs w:val="20"/>
        </w:rPr>
        <w:t>refugee teachers</w:t>
      </w:r>
      <w:r w:rsidRPr="0BE63F1D">
        <w:rPr>
          <w:rFonts w:asciiTheme="majorHAnsi" w:eastAsiaTheme="majorEastAsia" w:hAnsiTheme="majorHAnsi" w:cstheme="majorBidi"/>
          <w:sz w:val="20"/>
          <w:szCs w:val="20"/>
        </w:rPr>
        <w:t xml:space="preserve"> in finding documents which accredit the education completed in the home country, so they can receive equivalencies when appropriate.</w:t>
      </w:r>
    </w:p>
    <w:p w14:paraId="4A22EC3D" w14:textId="77777777" w:rsidR="00147B37" w:rsidRPr="00FF049C" w:rsidRDefault="00147B37" w:rsidP="007935EF">
      <w:pPr>
        <w:ind w:left="1843" w:hanging="1843"/>
        <w:rPr>
          <w:rFonts w:asciiTheme="majorHAnsi" w:hAnsiTheme="majorHAnsi" w:cstheme="majorHAnsi"/>
          <w:sz w:val="20"/>
          <w:szCs w:val="20"/>
        </w:rPr>
      </w:pPr>
    </w:p>
    <w:p w14:paraId="461F772F" w14:textId="77777777" w:rsidR="00C23C9D" w:rsidRPr="00FF049C" w:rsidRDefault="00C23C9D" w:rsidP="0BE63F1D">
      <w:pPr>
        <w:pStyle w:val="Titre1"/>
        <w:numPr>
          <w:ilvl w:val="0"/>
          <w:numId w:val="2"/>
        </w:numPr>
        <w:spacing w:after="0"/>
      </w:pPr>
      <w:bookmarkStart w:id="13" w:name="_Working_Group_C"/>
      <w:bookmarkStart w:id="14" w:name="_Toc470031650"/>
      <w:bookmarkEnd w:id="13"/>
      <w:r w:rsidRPr="0BE63F1D">
        <w:t>The Global Perspective</w:t>
      </w:r>
      <w:bookmarkEnd w:id="14"/>
    </w:p>
    <w:p w14:paraId="572C2A41" w14:textId="6E06D38E" w:rsidR="00147B37" w:rsidRPr="00147B37" w:rsidRDefault="00147B37" w:rsidP="00147B37">
      <w:pPr>
        <w:spacing w:after="0" w:line="240" w:lineRule="auto"/>
        <w:rPr>
          <w:sz w:val="20"/>
          <w:szCs w:val="20"/>
        </w:rPr>
      </w:pPr>
      <w:bookmarkStart w:id="15" w:name="_Toc470031651"/>
    </w:p>
    <w:p w14:paraId="7891B860" w14:textId="62E4935F" w:rsidR="00C23C9D" w:rsidRPr="00FF049C" w:rsidRDefault="0BE63F1D" w:rsidP="0BE63F1D">
      <w:pPr>
        <w:pStyle w:val="Titre2"/>
        <w:rPr>
          <w:b/>
          <w:bCs/>
          <w:color w:val="5B9BD5" w:themeColor="accent5"/>
          <w:sz w:val="32"/>
          <w:szCs w:val="32"/>
        </w:rPr>
      </w:pPr>
      <w:r w:rsidRPr="0BE63F1D">
        <w:rPr>
          <w:b/>
          <w:bCs/>
          <w:color w:val="5B9BD5" w:themeColor="accent5"/>
          <w:sz w:val="32"/>
          <w:szCs w:val="32"/>
        </w:rPr>
        <w:t>International Instruments Safeguarding the Rights of Refugees</w:t>
      </w:r>
      <w:bookmarkEnd w:id="15"/>
    </w:p>
    <w:p w14:paraId="095B3EAD" w14:textId="31DEF23C"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international and its affiliates should engage in campaigns that promote the ratification, implementation, and enforcement of international instruments including those relating to labour and children’s rights and standards.</w:t>
      </w:r>
    </w:p>
    <w:p w14:paraId="0C8039CF" w14:textId="56BA90F5"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39.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International and its affiliates should engage in campaigns that aim to turn the tide on public opinion on refugees by re-thinking their communication strategies, particularly through social media and in collaboration with other stakeholders and NGOs.</w:t>
      </w:r>
    </w:p>
    <w:p w14:paraId="2E366E33" w14:textId="77777777" w:rsidR="00C23C9D" w:rsidRPr="00FF049C" w:rsidRDefault="00C23C9D" w:rsidP="0BE63F1D">
      <w:pPr>
        <w:pStyle w:val="Titre2"/>
        <w:rPr>
          <w:b/>
          <w:bCs/>
          <w:color w:val="5B9BD5" w:themeColor="accent5"/>
          <w:sz w:val="32"/>
          <w:szCs w:val="32"/>
        </w:rPr>
      </w:pPr>
      <w:bookmarkStart w:id="16" w:name="_Toc470031652"/>
      <w:r w:rsidRPr="0BE63F1D">
        <w:rPr>
          <w:b/>
          <w:bCs/>
          <w:color w:val="5B9BD5" w:themeColor="accent5"/>
          <w:sz w:val="32"/>
          <w:szCs w:val="32"/>
        </w:rPr>
        <w:t>Reaching out to Unaccompanied Minors</w:t>
      </w:r>
      <w:bookmarkEnd w:id="16"/>
    </w:p>
    <w:p w14:paraId="792E769C" w14:textId="309835FA"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40.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unions should support regional (e.g. European), national, and local authorities to ensure that unaccompanied minors are provided with effective protection and assistance in a comprehensive and sustainable way, in line with international standards. In this regard, a special attention should be given to a) promoting cross border collaboration and dialogue among unions and relevant authorities in view of efficient family reunification procedures and b) providing unaccompanied minors with long-term educational and work perspectives that would guarantee a successful integration process and transition into adulthood.</w:t>
      </w:r>
    </w:p>
    <w:p w14:paraId="068947F2" w14:textId="7D695ED9"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Recommendation 41.</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Education unions should a) develop the capacities and raise awareness of teachers and education personnel on the ground regarding the national legal framework and protection system for unaccompanied minors and b) build partnership with relevant national and local actors to develop safe and inclusive school environments, where unaccompanied minors are offered adequate guidance and support in their integration </w:t>
      </w:r>
      <w:r w:rsidRPr="0BE63F1D">
        <w:rPr>
          <w:rFonts w:asciiTheme="majorHAnsi" w:eastAsiaTheme="majorEastAsia" w:hAnsiTheme="majorHAnsi" w:cstheme="majorBidi"/>
          <w:sz w:val="20"/>
          <w:szCs w:val="20"/>
        </w:rPr>
        <w:lastRenderedPageBreak/>
        <w:t>process, in order to prevent children from disappearing, being excluded from society and protect them from danger.</w:t>
      </w:r>
    </w:p>
    <w:p w14:paraId="5B99B966" w14:textId="77777777" w:rsidR="00C23C9D" w:rsidRPr="00FF049C" w:rsidRDefault="00C23C9D" w:rsidP="0BE63F1D">
      <w:pPr>
        <w:pStyle w:val="Titre2"/>
        <w:rPr>
          <w:b/>
          <w:bCs/>
          <w:color w:val="5B9BD5" w:themeColor="accent5"/>
          <w:sz w:val="32"/>
          <w:szCs w:val="32"/>
        </w:rPr>
      </w:pPr>
      <w:bookmarkStart w:id="17" w:name="_Toc470031653"/>
      <w:r w:rsidRPr="0BE63F1D">
        <w:rPr>
          <w:b/>
          <w:bCs/>
          <w:color w:val="5B9BD5" w:themeColor="accent5"/>
          <w:sz w:val="32"/>
          <w:szCs w:val="32"/>
        </w:rPr>
        <w:t>Burden or Blessing</w:t>
      </w:r>
      <w:bookmarkEnd w:id="17"/>
    </w:p>
    <w:p w14:paraId="336A5785" w14:textId="4E68B28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42.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stakeholders need to work with wider public services to ensure an effective transition for refugees into their host communities. Education sh</w:t>
      </w:r>
      <w:r w:rsidR="00A90725" w:rsidRPr="0BE63F1D">
        <w:rPr>
          <w:rFonts w:asciiTheme="majorHAnsi" w:eastAsiaTheme="majorEastAsia" w:hAnsiTheme="majorHAnsi" w:cstheme="majorBidi"/>
          <w:sz w:val="20"/>
          <w:szCs w:val="20"/>
        </w:rPr>
        <w:t xml:space="preserve">ould be seen as the </w:t>
      </w:r>
      <w:r w:rsidRPr="0BE63F1D">
        <w:rPr>
          <w:rFonts w:asciiTheme="majorHAnsi" w:eastAsiaTheme="majorEastAsia" w:hAnsiTheme="majorHAnsi" w:cstheme="majorBidi"/>
          <w:sz w:val="20"/>
          <w:szCs w:val="20"/>
        </w:rPr>
        <w:t>core of all support services.</w:t>
      </w:r>
    </w:p>
    <w:p w14:paraId="11AC5E83" w14:textId="405858F2"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Both refugees and host communities should be supported with effective information, advice and guidance to ensure successful relationships are built between those involved. Education should be seen as the key safe space where this can happen.</w:t>
      </w:r>
    </w:p>
    <w:p w14:paraId="1CB28F39" w14:textId="77777777" w:rsidR="00C23C9D" w:rsidRPr="00FF049C" w:rsidRDefault="00C23C9D" w:rsidP="0BE63F1D">
      <w:pPr>
        <w:pStyle w:val="Titre2"/>
      </w:pPr>
      <w:bookmarkStart w:id="18" w:name="_Toc470031654"/>
      <w:r w:rsidRPr="0BE63F1D">
        <w:rPr>
          <w:b/>
          <w:bCs/>
          <w:color w:val="5B9BD5" w:themeColor="accent5"/>
          <w:sz w:val="32"/>
          <w:szCs w:val="32"/>
        </w:rPr>
        <w:t>Sustainable Funding for Quality Education For All</w:t>
      </w:r>
      <w:bookmarkEnd w:id="18"/>
    </w:p>
    <w:p w14:paraId="092D4A10" w14:textId="43315E7A"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44. </w:t>
      </w:r>
      <w:r w:rsidR="007935EF">
        <w:rPr>
          <w:rFonts w:asciiTheme="majorHAnsi" w:eastAsia="Tahoma" w:hAnsiTheme="majorHAnsi" w:cstheme="majorHAnsi"/>
          <w:sz w:val="20"/>
          <w:szCs w:val="20"/>
        </w:rPr>
        <w:tab/>
      </w:r>
      <w:r w:rsidRPr="0BE63F1D">
        <w:rPr>
          <w:rFonts w:asciiTheme="majorHAnsi" w:eastAsiaTheme="majorEastAsia" w:hAnsiTheme="majorHAnsi" w:cstheme="majorBidi"/>
          <w:sz w:val="20"/>
          <w:szCs w:val="20"/>
        </w:rPr>
        <w:t>Education International should provide a checklist to support affiliates to lobby for more contributions to the “Education Cannot Wait Fund” and the 0.7% goal in development assistance budgets of donor states.</w:t>
      </w:r>
    </w:p>
    <w:p w14:paraId="748093AF" w14:textId="5822F568" w:rsidR="00D67C36" w:rsidRPr="007935EF" w:rsidRDefault="14993D27" w:rsidP="0BE63F1D">
      <w:pPr>
        <w:tabs>
          <w:tab w:val="left" w:pos="1843"/>
        </w:tabs>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In order to increase effectiveness and transparency of information, Education International can conduct a mapping within the European Union, Africa, and the Middle East in two areas:</w:t>
      </w:r>
    </w:p>
    <w:p w14:paraId="2294AE45" w14:textId="77777777" w:rsidR="00D67C36" w:rsidRPr="007935EF" w:rsidRDefault="0BE63F1D" w:rsidP="0BE63F1D">
      <w:pPr>
        <w:tabs>
          <w:tab w:val="left" w:pos="1843"/>
        </w:tabs>
        <w:ind w:left="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Available resources – Which countries are able to provide help and for whom?</w:t>
      </w:r>
    </w:p>
    <w:p w14:paraId="5730ECD6" w14:textId="680674BD" w:rsidR="00C23C9D" w:rsidRPr="007935EF" w:rsidRDefault="0BE63F1D" w:rsidP="0BE63F1D">
      <w:pPr>
        <w:tabs>
          <w:tab w:val="left" w:pos="1843"/>
        </w:tabs>
        <w:ind w:left="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Needs – Which kind of support is needed, such as basic needs (emergency funding for refugee camps, schools, food, water, supplies), know-how (training for teachers, manuals, teaching materials, teaching methods), and strategies/policies.</w:t>
      </w:r>
    </w:p>
    <w:p w14:paraId="0AFAAD94" w14:textId="2BBA7067"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International members need support in accessing the funds provided by the European Commission. EI and ETUCE can act as facilitators and organize meetings with EU fundraising specialists in order to advise the teachers’ unions on this subject.</w:t>
      </w:r>
    </w:p>
    <w:p w14:paraId="0FF8864C" w14:textId="54209B6D" w:rsidR="00C23C9D" w:rsidRDefault="14993D27" w:rsidP="0BE63F1D">
      <w:pPr>
        <w:ind w:left="1843" w:hanging="1843"/>
        <w:rPr>
          <w:rFonts w:asciiTheme="majorHAnsi" w:eastAsiaTheme="majorEastAsia" w:hAnsiTheme="majorHAnsi" w:cstheme="majorBidi"/>
          <w:sz w:val="20"/>
          <w:szCs w:val="20"/>
        </w:rPr>
      </w:pPr>
      <w:bookmarkStart w:id="19" w:name="_Working_Group_D"/>
      <w:bookmarkStart w:id="20" w:name="_Toc470031655"/>
      <w:bookmarkEnd w:id="19"/>
      <w:r w:rsidRPr="0BE63F1D">
        <w:rPr>
          <w:rFonts w:asciiTheme="majorHAnsi" w:eastAsiaTheme="majorEastAsia" w:hAnsiTheme="majorHAnsi" w:cstheme="majorBidi"/>
          <w:sz w:val="20"/>
          <w:szCs w:val="20"/>
        </w:rPr>
        <w:t xml:space="preserve">Recommendation 47.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The outcomes of the conference should consider financial aspects. To support education unions at the national level, Education international should provide a check-list focused on what the governments must do to develop integration policies and development aid actions.</w:t>
      </w:r>
    </w:p>
    <w:p w14:paraId="01F78688" w14:textId="77777777" w:rsidR="00147B37" w:rsidRPr="00FF049C" w:rsidRDefault="00147B37" w:rsidP="007935EF">
      <w:pPr>
        <w:ind w:left="1843" w:hanging="1843"/>
        <w:rPr>
          <w:rFonts w:asciiTheme="majorHAnsi" w:eastAsia="Tahoma" w:hAnsiTheme="majorHAnsi" w:cstheme="majorHAnsi"/>
          <w:sz w:val="20"/>
          <w:szCs w:val="20"/>
        </w:rPr>
      </w:pPr>
    </w:p>
    <w:p w14:paraId="6987391D" w14:textId="700E95C1" w:rsidR="00C23C9D" w:rsidRDefault="0BE63F1D" w:rsidP="0BE63F1D">
      <w:pPr>
        <w:pStyle w:val="Titre1"/>
        <w:numPr>
          <w:ilvl w:val="0"/>
          <w:numId w:val="5"/>
        </w:numPr>
      </w:pPr>
      <w:r w:rsidRPr="0BE63F1D">
        <w:t>Confronting the Professional Challenge</w:t>
      </w:r>
      <w:bookmarkEnd w:id="20"/>
    </w:p>
    <w:p w14:paraId="7A940E97" w14:textId="77777777" w:rsidR="00147B37" w:rsidRPr="00147B37" w:rsidRDefault="00147B37" w:rsidP="00147B37">
      <w:pPr>
        <w:spacing w:after="0"/>
      </w:pPr>
    </w:p>
    <w:p w14:paraId="111FF05B" w14:textId="77777777" w:rsidR="00C23C9D" w:rsidRPr="00FF049C" w:rsidRDefault="00C23C9D" w:rsidP="0BE63F1D">
      <w:pPr>
        <w:pStyle w:val="Titre2"/>
        <w:rPr>
          <w:b/>
          <w:bCs/>
          <w:color w:val="5B9BD5" w:themeColor="accent5"/>
          <w:sz w:val="32"/>
          <w:szCs w:val="32"/>
        </w:rPr>
      </w:pPr>
      <w:bookmarkStart w:id="21" w:name="_Toc470031656"/>
      <w:r w:rsidRPr="0BE63F1D">
        <w:rPr>
          <w:b/>
          <w:bCs/>
          <w:color w:val="5B9BD5" w:themeColor="accent5"/>
          <w:sz w:val="32"/>
          <w:szCs w:val="32"/>
        </w:rPr>
        <w:t>Supporting the Development of Host Country Language and Values</w:t>
      </w:r>
      <w:bookmarkEnd w:id="21"/>
    </w:p>
    <w:p w14:paraId="75240BA2" w14:textId="4BB79462"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48.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Evidence based approaches to support language development should be used, informing programs of teacher professional development to build the necessary capacities for effective language instruction, in pull out sessions and in integrated classes. Supportive actions for effective language development would include using teaching assistants with mother tongue for provisional support or maintenance.</w:t>
      </w:r>
    </w:p>
    <w:p w14:paraId="02DF41F0" w14:textId="36DDF2A5" w:rsidR="00C23C9D" w:rsidRPr="00FF049C" w:rsidRDefault="12930BB3"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lastRenderedPageBreak/>
        <w:t xml:space="preserve">Recommendation 49.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Teachers have to engage in frequent and effective dialogue with parents that can help them appreciate and communicate respect of the home culture and values, while helping the family navigate and access the codes of participation and power in the host country.</w:t>
      </w:r>
    </w:p>
    <w:p w14:paraId="49F13FDF" w14:textId="77777777" w:rsidR="00C23C9D" w:rsidRPr="00FF049C" w:rsidRDefault="00C23C9D" w:rsidP="0BE63F1D">
      <w:pPr>
        <w:pStyle w:val="Titre2"/>
        <w:rPr>
          <w:b/>
          <w:bCs/>
          <w:color w:val="5B9BD5" w:themeColor="accent5"/>
          <w:sz w:val="32"/>
          <w:szCs w:val="32"/>
        </w:rPr>
      </w:pPr>
      <w:bookmarkStart w:id="22" w:name="_Toc470031657"/>
      <w:r w:rsidRPr="0BE63F1D">
        <w:rPr>
          <w:b/>
          <w:bCs/>
          <w:color w:val="5B9BD5" w:themeColor="accent5"/>
          <w:sz w:val="32"/>
          <w:szCs w:val="32"/>
        </w:rPr>
        <w:t>Personalization of Instruction</w:t>
      </w:r>
      <w:bookmarkEnd w:id="22"/>
    </w:p>
    <w:p w14:paraId="036965BA" w14:textId="404E94BB"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50.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teacher capacities and appropriate assessment instruments that enable the development of an individualized learnin</w:t>
      </w:r>
      <w:r w:rsidR="00D67C36" w:rsidRPr="0BE63F1D">
        <w:rPr>
          <w:rFonts w:asciiTheme="majorHAnsi" w:eastAsiaTheme="majorEastAsia" w:hAnsiTheme="majorHAnsi" w:cstheme="majorBidi"/>
          <w:sz w:val="20"/>
          <w:szCs w:val="20"/>
        </w:rPr>
        <w:t>g plan for each refugee student.</w:t>
      </w:r>
    </w:p>
    <w:p w14:paraId="7D705520" w14:textId="3E3DA1A2" w:rsidR="00C23C9D" w:rsidRPr="007935EF" w:rsidRDefault="12930BB3"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Promote teacher autonomy and competency to support the language development of students in the mother tongue as well as language(s) of the host country, as well as the capacity to communicate through the common languages of music and sports.</w:t>
      </w:r>
    </w:p>
    <w:p w14:paraId="597EB48B" w14:textId="78A57E45" w:rsidR="00C23C9D" w:rsidRPr="00FF049C" w:rsidRDefault="12930BB3"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52.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Nurture a social and institutional context that provides teachers a community for learning, support and continuous improvement, social support, a collaborative environment with colleagues and members of the community, adequate support personnel, such as social workers, psychologists and others who can provide holistic attention to the needs of refugees and make appropriate linkages with other agencies that can support the needs of their families.</w:t>
      </w:r>
    </w:p>
    <w:p w14:paraId="6CE12584" w14:textId="77777777" w:rsidR="00C23C9D" w:rsidRPr="00FF049C" w:rsidRDefault="00C23C9D" w:rsidP="0BE63F1D">
      <w:pPr>
        <w:pStyle w:val="Titre2"/>
        <w:rPr>
          <w:b/>
          <w:bCs/>
          <w:color w:val="5B9BD5" w:themeColor="accent5"/>
          <w:sz w:val="32"/>
          <w:szCs w:val="32"/>
        </w:rPr>
      </w:pPr>
      <w:bookmarkStart w:id="23" w:name="_Toc470031658"/>
      <w:r w:rsidRPr="0BE63F1D">
        <w:rPr>
          <w:b/>
          <w:bCs/>
          <w:color w:val="5B9BD5" w:themeColor="accent5"/>
          <w:sz w:val="32"/>
          <w:szCs w:val="32"/>
        </w:rPr>
        <w:t>Educating the whole child</w:t>
      </w:r>
      <w:bookmarkEnd w:id="23"/>
    </w:p>
    <w:p w14:paraId="1FA9548F" w14:textId="1E4D4408"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Teach teaching. Restructure the work of teaching so it is collaborative, across subjects, project based, and deploying innovative pedagogies.</w:t>
      </w:r>
    </w:p>
    <w:p w14:paraId="3E1DBAEE" w14:textId="5B2C4FC8"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Teacher coaching. Use multiple modalities of professional development, not just short courses, which are common, but also coaching and mentoring, school based professional development, self-studies, shadowing other teachers and team teaching.</w:t>
      </w:r>
    </w:p>
    <w:p w14:paraId="15991328" w14:textId="6DF181D4"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appropriate linkages for frequent interaction across teachers in various classrooms in various schools, and also between school staff and communities and other organizations of civil society, such as agencies that provide support services to students and their families.</w:t>
      </w:r>
    </w:p>
    <w:p w14:paraId="2C809F14" w14:textId="571EE88D"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Involve students actively in their own education, including in identifying learning needs and devising learning activities to meet those needs.</w:t>
      </w:r>
    </w:p>
    <w:p w14:paraId="5D6388EC" w14:textId="77777777" w:rsidR="00C23C9D" w:rsidRPr="00FF049C" w:rsidRDefault="00C23C9D" w:rsidP="0BE63F1D">
      <w:pPr>
        <w:pStyle w:val="Titre2"/>
        <w:rPr>
          <w:b/>
          <w:bCs/>
          <w:color w:val="5B9BD5" w:themeColor="accent5"/>
          <w:sz w:val="32"/>
          <w:szCs w:val="32"/>
        </w:rPr>
      </w:pPr>
      <w:bookmarkStart w:id="24" w:name="_Toc470031659"/>
      <w:r w:rsidRPr="0BE63F1D">
        <w:rPr>
          <w:b/>
          <w:bCs/>
          <w:color w:val="5B9BD5" w:themeColor="accent5"/>
          <w:sz w:val="32"/>
          <w:szCs w:val="32"/>
        </w:rPr>
        <w:t>Advancing Global Citizenship Education</w:t>
      </w:r>
      <w:bookmarkEnd w:id="24"/>
    </w:p>
    <w:p w14:paraId="6C052910" w14:textId="37C694A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global citizenship curriculum across disciplines and at all grade levels which can support effective global citizenship. Different systems may follow diverse pathways to do this, some may adopt a national global citizenship curriculum, others may adopt national standards, others may create processes that invite the creation of multiple global citizenship curricula. These should foster agency, empowerment, understanding of and active respect for human rights and for actions that lead to sustainable development as articulated in the Sustainable Development Goals.</w:t>
      </w:r>
    </w:p>
    <w:p w14:paraId="1D052C39" w14:textId="3CFCECC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58.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Create a global citizenship portal with resources that can support initiatives across countries, and that enable and support cross-country exchange of experience and collaboration.</w:t>
      </w:r>
    </w:p>
    <w:p w14:paraId="6A7E3F47" w14:textId="163EDCA2" w:rsidR="00C23C9D"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lastRenderedPageBreak/>
        <w:t xml:space="preserve">Recommendation 59.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appropriate linkages with academia, international development institutions, and other organizations that can support high quality global citizenship curriculum and professional development.</w:t>
      </w:r>
    </w:p>
    <w:p w14:paraId="04A2EC40" w14:textId="77777777" w:rsidR="00147B37" w:rsidRPr="00FF049C" w:rsidRDefault="00147B37" w:rsidP="007935EF">
      <w:pPr>
        <w:ind w:left="1843" w:hanging="1843"/>
        <w:rPr>
          <w:rFonts w:asciiTheme="majorHAnsi" w:hAnsiTheme="majorHAnsi" w:cstheme="majorHAnsi"/>
          <w:sz w:val="20"/>
          <w:szCs w:val="20"/>
        </w:rPr>
      </w:pPr>
    </w:p>
    <w:p w14:paraId="084E65F5" w14:textId="70849A18" w:rsidR="00C23C9D" w:rsidRDefault="00C23C9D" w:rsidP="0BE63F1D">
      <w:pPr>
        <w:pStyle w:val="Titre1"/>
        <w:numPr>
          <w:ilvl w:val="0"/>
          <w:numId w:val="5"/>
        </w:numPr>
      </w:pPr>
      <w:bookmarkStart w:id="25" w:name="_Working_Group_E"/>
      <w:bookmarkStart w:id="26" w:name="_Toc470031660"/>
      <w:bookmarkEnd w:id="25"/>
      <w:r w:rsidRPr="0BE63F1D">
        <w:t>Creating a Favourable School Environment</w:t>
      </w:r>
      <w:bookmarkEnd w:id="26"/>
    </w:p>
    <w:p w14:paraId="2A186DDA" w14:textId="77777777" w:rsidR="00147B37" w:rsidRPr="00147B37" w:rsidRDefault="00147B37" w:rsidP="00147B37">
      <w:pPr>
        <w:spacing w:after="0"/>
      </w:pPr>
    </w:p>
    <w:p w14:paraId="111B644F" w14:textId="77777777" w:rsidR="00C23C9D" w:rsidRPr="00FF049C" w:rsidRDefault="00C23C9D" w:rsidP="0BE63F1D">
      <w:pPr>
        <w:pStyle w:val="Titre2"/>
        <w:rPr>
          <w:b/>
          <w:bCs/>
          <w:color w:val="5B9BD5" w:themeColor="accent5"/>
          <w:sz w:val="32"/>
          <w:szCs w:val="32"/>
        </w:rPr>
      </w:pPr>
      <w:bookmarkStart w:id="27" w:name="_Toc470031661"/>
      <w:r w:rsidRPr="0BE63F1D">
        <w:rPr>
          <w:b/>
          <w:bCs/>
          <w:color w:val="5B9BD5" w:themeColor="accent5"/>
          <w:sz w:val="32"/>
          <w:szCs w:val="32"/>
        </w:rPr>
        <w:t>Building Harmonious School Community</w:t>
      </w:r>
      <w:bookmarkEnd w:id="27"/>
    </w:p>
    <w:p w14:paraId="62E3ED29" w14:textId="20F4542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Recom</w:t>
      </w:r>
      <w:r w:rsidR="00D67C36" w:rsidRPr="0BE63F1D">
        <w:rPr>
          <w:rFonts w:asciiTheme="majorHAnsi" w:eastAsiaTheme="majorEastAsia" w:hAnsiTheme="majorHAnsi" w:cstheme="majorBidi"/>
          <w:sz w:val="20"/>
          <w:szCs w:val="20"/>
        </w:rPr>
        <w:t xml:space="preserve">mendation 60. </w:t>
      </w:r>
      <w:r w:rsidR="007935EF">
        <w:rPr>
          <w:rFonts w:asciiTheme="majorHAnsi" w:hAnsiTheme="majorHAnsi" w:cstheme="majorHAnsi"/>
          <w:sz w:val="20"/>
          <w:szCs w:val="20"/>
        </w:rPr>
        <w:tab/>
      </w:r>
      <w:r w:rsidR="00D67C36" w:rsidRPr="0BE63F1D">
        <w:rPr>
          <w:rFonts w:asciiTheme="majorHAnsi" w:eastAsiaTheme="majorEastAsia" w:hAnsiTheme="majorHAnsi" w:cstheme="majorBidi"/>
          <w:sz w:val="20"/>
          <w:szCs w:val="20"/>
        </w:rPr>
        <w:t xml:space="preserve">Foster inclusive and open </w:t>
      </w:r>
      <w:r w:rsidRPr="0BE63F1D">
        <w:rPr>
          <w:rFonts w:asciiTheme="majorHAnsi" w:eastAsiaTheme="majorEastAsia" w:hAnsiTheme="majorHAnsi" w:cstheme="majorBidi"/>
          <w:sz w:val="20"/>
          <w:szCs w:val="20"/>
        </w:rPr>
        <w:t>partnership</w:t>
      </w:r>
      <w:r w:rsidR="00D67C36" w:rsidRPr="0BE63F1D">
        <w:rPr>
          <w:rFonts w:asciiTheme="majorHAnsi" w:eastAsiaTheme="majorEastAsia" w:hAnsiTheme="majorHAnsi" w:cstheme="majorBidi"/>
          <w:sz w:val="20"/>
          <w:szCs w:val="20"/>
        </w:rPr>
        <w:t>s with parents and others through building trust and effective c</w:t>
      </w:r>
      <w:r w:rsidRPr="0BE63F1D">
        <w:rPr>
          <w:rFonts w:asciiTheme="majorHAnsi" w:eastAsiaTheme="majorEastAsia" w:hAnsiTheme="majorHAnsi" w:cstheme="majorBidi"/>
          <w:sz w:val="20"/>
          <w:szCs w:val="20"/>
        </w:rPr>
        <w:t>ommunication across the whole s</w:t>
      </w:r>
      <w:r w:rsidR="00D67C36" w:rsidRPr="0BE63F1D">
        <w:rPr>
          <w:rFonts w:asciiTheme="majorHAnsi" w:eastAsiaTheme="majorEastAsia" w:hAnsiTheme="majorHAnsi" w:cstheme="majorBidi"/>
          <w:sz w:val="20"/>
          <w:szCs w:val="20"/>
        </w:rPr>
        <w:t>chool community on the school v</w:t>
      </w:r>
      <w:r w:rsidRPr="0BE63F1D">
        <w:rPr>
          <w:rFonts w:asciiTheme="majorHAnsi" w:eastAsiaTheme="majorEastAsia" w:hAnsiTheme="majorHAnsi" w:cstheme="majorBidi"/>
          <w:sz w:val="20"/>
          <w:szCs w:val="20"/>
        </w:rPr>
        <w:t>alues</w:t>
      </w:r>
      <w:r w:rsidR="00D67C36" w:rsidRPr="0BE63F1D">
        <w:rPr>
          <w:rFonts w:asciiTheme="majorHAnsi" w:eastAsiaTheme="majorEastAsia" w:hAnsiTheme="majorHAnsi" w:cstheme="majorBidi"/>
          <w:sz w:val="20"/>
          <w:szCs w:val="20"/>
        </w:rPr>
        <w:t xml:space="preserve"> and leadership.</w:t>
      </w:r>
    </w:p>
    <w:p w14:paraId="5D0E1C27" w14:textId="45BE25B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Effective distributed leadership supported by inclu</w:t>
      </w:r>
      <w:r w:rsidR="00D67C36" w:rsidRPr="0BE63F1D">
        <w:rPr>
          <w:rFonts w:asciiTheme="majorHAnsi" w:eastAsiaTheme="majorEastAsia" w:hAnsiTheme="majorHAnsi" w:cstheme="majorBidi"/>
          <w:sz w:val="20"/>
          <w:szCs w:val="20"/>
        </w:rPr>
        <w:t>sive, participatory structures b</w:t>
      </w:r>
      <w:r w:rsidRPr="0BE63F1D">
        <w:rPr>
          <w:rFonts w:asciiTheme="majorHAnsi" w:eastAsiaTheme="majorEastAsia" w:hAnsiTheme="majorHAnsi" w:cstheme="majorBidi"/>
          <w:sz w:val="20"/>
          <w:szCs w:val="20"/>
        </w:rPr>
        <w:t>uilding a positive school environment and ethos</w:t>
      </w:r>
      <w:r w:rsidR="00D67C36" w:rsidRPr="0BE63F1D">
        <w:rPr>
          <w:rFonts w:asciiTheme="majorHAnsi" w:eastAsiaTheme="majorEastAsia" w:hAnsiTheme="majorHAnsi" w:cstheme="majorBidi"/>
          <w:sz w:val="20"/>
          <w:szCs w:val="20"/>
        </w:rPr>
        <w:t>.</w:t>
      </w:r>
    </w:p>
    <w:p w14:paraId="015AF158" w14:textId="61D9B14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62.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Relationships with faith-based institutions can promote integration that i</w:t>
      </w:r>
      <w:r w:rsidR="00D67C36" w:rsidRPr="0BE63F1D">
        <w:rPr>
          <w:rFonts w:asciiTheme="majorHAnsi" w:eastAsiaTheme="majorEastAsia" w:hAnsiTheme="majorHAnsi" w:cstheme="majorBidi"/>
          <w:sz w:val="20"/>
          <w:szCs w:val="20"/>
        </w:rPr>
        <w:t>s underpinned by understanding. P</w:t>
      </w:r>
      <w:r w:rsidRPr="0BE63F1D">
        <w:rPr>
          <w:rFonts w:asciiTheme="majorHAnsi" w:eastAsiaTheme="majorEastAsia" w:hAnsiTheme="majorHAnsi" w:cstheme="majorBidi"/>
          <w:sz w:val="20"/>
          <w:szCs w:val="20"/>
        </w:rPr>
        <w:t xml:space="preserve">ositive relationships with community police could be helpful in reframing </w:t>
      </w:r>
      <w:r w:rsidR="00D67C36" w:rsidRPr="0BE63F1D">
        <w:rPr>
          <w:rFonts w:asciiTheme="majorHAnsi" w:eastAsiaTheme="majorEastAsia" w:hAnsiTheme="majorHAnsi" w:cstheme="majorBidi"/>
          <w:sz w:val="20"/>
          <w:szCs w:val="20"/>
        </w:rPr>
        <w:t xml:space="preserve">the </w:t>
      </w:r>
      <w:r w:rsidRPr="0BE63F1D">
        <w:rPr>
          <w:rFonts w:asciiTheme="majorHAnsi" w:eastAsiaTheme="majorEastAsia" w:hAnsiTheme="majorHAnsi" w:cstheme="majorBidi"/>
          <w:sz w:val="20"/>
          <w:szCs w:val="20"/>
        </w:rPr>
        <w:t>perception of authority figures and public institutions</w:t>
      </w:r>
      <w:r w:rsidR="00D67C36" w:rsidRPr="0BE63F1D">
        <w:rPr>
          <w:rFonts w:asciiTheme="majorHAnsi" w:eastAsiaTheme="majorEastAsia" w:hAnsiTheme="majorHAnsi" w:cstheme="majorBidi"/>
          <w:sz w:val="20"/>
          <w:szCs w:val="20"/>
        </w:rPr>
        <w:t>. Provide l</w:t>
      </w:r>
      <w:r w:rsidRPr="0BE63F1D">
        <w:rPr>
          <w:rFonts w:asciiTheme="majorHAnsi" w:eastAsiaTheme="majorEastAsia" w:hAnsiTheme="majorHAnsi" w:cstheme="majorBidi"/>
          <w:sz w:val="20"/>
          <w:szCs w:val="20"/>
        </w:rPr>
        <w:t>anguage classes for parents who require support to learn the language of the host country</w:t>
      </w:r>
      <w:r w:rsidR="00D67C36" w:rsidRPr="0BE63F1D">
        <w:rPr>
          <w:rFonts w:asciiTheme="majorHAnsi" w:eastAsiaTheme="majorEastAsia" w:hAnsiTheme="majorHAnsi" w:cstheme="majorBidi"/>
          <w:sz w:val="20"/>
          <w:szCs w:val="20"/>
        </w:rPr>
        <w:t xml:space="preserve">. Great need for larger </w:t>
      </w:r>
      <w:r w:rsidRPr="0BE63F1D">
        <w:rPr>
          <w:rFonts w:asciiTheme="majorHAnsi" w:eastAsiaTheme="majorEastAsia" w:hAnsiTheme="majorHAnsi" w:cstheme="majorBidi"/>
          <w:sz w:val="20"/>
          <w:szCs w:val="20"/>
        </w:rPr>
        <w:t>number of mother tongue teachers</w:t>
      </w:r>
      <w:r w:rsidR="00D67C36" w:rsidRPr="0BE63F1D">
        <w:rPr>
          <w:rFonts w:asciiTheme="majorHAnsi" w:eastAsiaTheme="majorEastAsia" w:hAnsiTheme="majorHAnsi" w:cstheme="majorBidi"/>
          <w:sz w:val="20"/>
          <w:szCs w:val="20"/>
        </w:rPr>
        <w:t>.</w:t>
      </w:r>
    </w:p>
    <w:p w14:paraId="18E96309" w14:textId="77777777" w:rsidR="00C23C9D" w:rsidRPr="00FF049C" w:rsidRDefault="00C23C9D" w:rsidP="0BE63F1D">
      <w:pPr>
        <w:pStyle w:val="Titre2"/>
        <w:rPr>
          <w:b/>
          <w:bCs/>
          <w:color w:val="5B9BD5" w:themeColor="accent5"/>
          <w:sz w:val="32"/>
          <w:szCs w:val="32"/>
        </w:rPr>
      </w:pPr>
      <w:bookmarkStart w:id="28" w:name="_Toc470031662"/>
      <w:r w:rsidRPr="0BE63F1D">
        <w:rPr>
          <w:b/>
          <w:bCs/>
          <w:color w:val="5B9BD5" w:themeColor="accent5"/>
          <w:sz w:val="32"/>
          <w:szCs w:val="32"/>
        </w:rPr>
        <w:t>Combating Racism and Xenophobia</w:t>
      </w:r>
      <w:bookmarkEnd w:id="28"/>
    </w:p>
    <w:p w14:paraId="4C890E3C" w14:textId="3BD49841"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Develop/Ensure that curriculum that is critical, culturally sensitive and inclusive and includes training for educators to avoid biases. Curriculum should be broad to provide time and freedom to address these issues.</w:t>
      </w:r>
    </w:p>
    <w:p w14:paraId="40F40174" w14:textId="54FCC8E9"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Ensure teachers’ professional standards of practice preclude racist and xenophobic activities. School charters should be developed and implemented.</w:t>
      </w:r>
    </w:p>
    <w:p w14:paraId="6BE8A5A4" w14:textId="3C50BB68"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a repository of classroom-ready material that may be used by teachers to combat racism and xenophobia including media awareness and critical thinking. Tools should be inter disciplinary, readily available and teacher friendly.</w:t>
      </w:r>
    </w:p>
    <w:p w14:paraId="57277100" w14:textId="29C9945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Develop partnerships with community organizations and municipalities to provide resources for families and children outside of the school system.</w:t>
      </w:r>
    </w:p>
    <w:p w14:paraId="1F26E08C" w14:textId="182D1D4D"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Use extra-curricular and/or co-curricular activities to aid in the integration of students and parents.</w:t>
      </w:r>
    </w:p>
    <w:p w14:paraId="318122A4" w14:textId="5C8DFD21"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Staff should reflect the diversity of the school community.</w:t>
      </w:r>
    </w:p>
    <w:p w14:paraId="421AC7DE" w14:textId="6C15CED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69.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All members of the education community must be part of the solution including teachers, parents, students, administrators and unions.</w:t>
      </w:r>
    </w:p>
    <w:p w14:paraId="187264C5" w14:textId="77777777" w:rsidR="00C23C9D" w:rsidRPr="00FF049C" w:rsidRDefault="00C23C9D" w:rsidP="0BE63F1D">
      <w:pPr>
        <w:pStyle w:val="Titre2"/>
        <w:rPr>
          <w:b/>
          <w:bCs/>
          <w:color w:val="5B9BD5" w:themeColor="accent5"/>
          <w:sz w:val="32"/>
          <w:szCs w:val="32"/>
        </w:rPr>
      </w:pPr>
      <w:bookmarkStart w:id="29" w:name="_Toc470031663"/>
      <w:r w:rsidRPr="0BE63F1D">
        <w:rPr>
          <w:b/>
          <w:bCs/>
          <w:color w:val="5B9BD5" w:themeColor="accent5"/>
          <w:sz w:val="32"/>
          <w:szCs w:val="32"/>
        </w:rPr>
        <w:t>Developing Effective Models of Trauma Counselling</w:t>
      </w:r>
      <w:bookmarkEnd w:id="29"/>
    </w:p>
    <w:p w14:paraId="77909A3A" w14:textId="2842B044"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70. </w:t>
      </w:r>
      <w:r w:rsidR="007935EF">
        <w:rPr>
          <w:rFonts w:asciiTheme="majorHAnsi" w:eastAsia="Tahoma" w:hAnsiTheme="majorHAnsi" w:cstheme="majorHAnsi"/>
          <w:sz w:val="20"/>
          <w:szCs w:val="20"/>
        </w:rPr>
        <w:tab/>
      </w:r>
      <w:r w:rsidRPr="0BE63F1D">
        <w:rPr>
          <w:rFonts w:asciiTheme="majorHAnsi" w:eastAsiaTheme="majorEastAsia" w:hAnsiTheme="majorHAnsi" w:cstheme="majorBidi"/>
          <w:sz w:val="20"/>
          <w:szCs w:val="20"/>
        </w:rPr>
        <w:t xml:space="preserve">Systematic training of teachers and school staff to be able to identify signals of behavioural problems/traumas and establishment of multidisciplinary team of experts as </w:t>
      </w:r>
      <w:r w:rsidRPr="0BE63F1D">
        <w:rPr>
          <w:rFonts w:asciiTheme="majorHAnsi" w:eastAsiaTheme="majorEastAsia" w:hAnsiTheme="majorHAnsi" w:cstheme="majorBidi"/>
          <w:sz w:val="20"/>
          <w:szCs w:val="20"/>
        </w:rPr>
        <w:lastRenderedPageBreak/>
        <w:t>resource persons and in order to develop coordinated response/comprehensive interventions at school and with relevant authorities/social services.</w:t>
      </w:r>
    </w:p>
    <w:p w14:paraId="017999E9" w14:textId="452EA01D" w:rsidR="00C23C9D"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Build “safe schools” models with spaces for dialogue and extra-support programmes for young people reaching 18 years old who are presenting behavioural and psychological problems. </w:t>
      </w:r>
    </w:p>
    <w:p w14:paraId="28C15692" w14:textId="77777777" w:rsidR="00147B37" w:rsidRPr="00FF049C" w:rsidRDefault="00147B37" w:rsidP="007935EF">
      <w:pPr>
        <w:ind w:left="1843" w:hanging="1843"/>
        <w:rPr>
          <w:rFonts w:asciiTheme="majorHAnsi" w:hAnsiTheme="majorHAnsi" w:cstheme="majorHAnsi"/>
          <w:sz w:val="20"/>
          <w:szCs w:val="20"/>
        </w:rPr>
      </w:pPr>
    </w:p>
    <w:p w14:paraId="3112366B" w14:textId="77777777" w:rsidR="00C23C9D" w:rsidRPr="00FF049C" w:rsidRDefault="00C23C9D" w:rsidP="0BE63F1D">
      <w:pPr>
        <w:pStyle w:val="Titre1"/>
        <w:numPr>
          <w:ilvl w:val="0"/>
          <w:numId w:val="5"/>
        </w:numPr>
      </w:pPr>
      <w:bookmarkStart w:id="30" w:name="_Working_Group_F"/>
      <w:bookmarkStart w:id="31" w:name="_Toc470031664"/>
      <w:bookmarkEnd w:id="30"/>
      <w:r w:rsidRPr="0BE63F1D">
        <w:t>Education Unions Taking Responsibility</w:t>
      </w:r>
      <w:bookmarkEnd w:id="31"/>
    </w:p>
    <w:p w14:paraId="44725AA4" w14:textId="77777777" w:rsidR="00147B37" w:rsidRDefault="00147B37" w:rsidP="00147B37">
      <w:pPr>
        <w:spacing w:after="0"/>
      </w:pPr>
      <w:bookmarkStart w:id="32" w:name="_Round_table_F1:"/>
      <w:bookmarkStart w:id="33" w:name="_Toc470031665"/>
      <w:bookmarkEnd w:id="32"/>
    </w:p>
    <w:p w14:paraId="0017D1E9" w14:textId="1D7C4BBD" w:rsidR="00C23C9D" w:rsidRPr="00FF049C" w:rsidRDefault="0BE63F1D" w:rsidP="0BE63F1D">
      <w:pPr>
        <w:pStyle w:val="Titre2"/>
        <w:rPr>
          <w:b/>
          <w:bCs/>
          <w:color w:val="5B9BD5" w:themeColor="accent5"/>
          <w:sz w:val="32"/>
          <w:szCs w:val="32"/>
        </w:rPr>
      </w:pPr>
      <w:r w:rsidRPr="0BE63F1D">
        <w:rPr>
          <w:b/>
          <w:bCs/>
          <w:color w:val="5B9BD5" w:themeColor="accent5"/>
          <w:sz w:val="32"/>
          <w:szCs w:val="32"/>
        </w:rPr>
        <w:t>Establishing Partnerships</w:t>
      </w:r>
      <w:bookmarkEnd w:id="33"/>
    </w:p>
    <w:p w14:paraId="2CDC7847" w14:textId="02ED47D8"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72.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Establish networks of teachers/teacher unions who are experienced in working on migration issues by encouraging existing teacher activities, empowering teachers at local level. Where networks of CSOs or NGOs exist already, there is a need to tap into or to link to these networks with a view to benefit from each other and to overcome issues of misinformation or lack of information exchange. The network should have a holistic approach and connect with school boards, universities and get everybody together who works on education and migration issues.</w:t>
      </w:r>
    </w:p>
    <w:p w14:paraId="20FF0676" w14:textId="426A9011" w:rsidR="00C23C9D" w:rsidRPr="007935EF" w:rsidRDefault="00C23C9D" w:rsidP="7D3B28C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The networks should reply to the need to en</w:t>
      </w:r>
      <w:r w:rsidR="00A7177F" w:rsidRPr="0BE63F1D">
        <w:rPr>
          <w:rFonts w:asciiTheme="majorHAnsi" w:eastAsiaTheme="majorEastAsia" w:hAnsiTheme="majorHAnsi" w:cstheme="majorBidi"/>
          <w:sz w:val="20"/>
          <w:szCs w:val="20"/>
        </w:rPr>
        <w:t>gage regional boards, cooperate</w:t>
      </w:r>
      <w:r w:rsidRPr="0BE63F1D">
        <w:rPr>
          <w:rFonts w:asciiTheme="majorHAnsi" w:eastAsiaTheme="majorEastAsia" w:hAnsiTheme="majorHAnsi" w:cstheme="majorBidi"/>
          <w:sz w:val="20"/>
          <w:szCs w:val="20"/>
        </w:rPr>
        <w:t xml:space="preserve"> with CSOs and NGOs, youth parliament, school boards, Red Cross activities, including religious and community leaders who are also close to the refugee community, etc. for the unions to gather the support and form coalitions</w:t>
      </w:r>
      <w:r w:rsidR="00A7177F" w:rsidRPr="0BE63F1D">
        <w:rPr>
          <w:rFonts w:asciiTheme="majorHAnsi" w:eastAsiaTheme="majorEastAsia" w:hAnsiTheme="majorHAnsi" w:cstheme="majorBidi"/>
          <w:sz w:val="20"/>
          <w:szCs w:val="20"/>
        </w:rPr>
        <w:t>.</w:t>
      </w:r>
    </w:p>
    <w:p w14:paraId="72A7B159" w14:textId="5300B924"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Create multi-stakeholder coalitions at local level with parents and students, including the learner experience to ensure children and young people can learn in a safe and healthy environment that allows them to receive quality education.</w:t>
      </w:r>
    </w:p>
    <w:p w14:paraId="264B88AD" w14:textId="2720E7DA"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Link to activism, incentivize union activists on the topic; strengthen the dialogue between organizations and empower trade union activists to use the existing experience. For EI that means:</w:t>
      </w:r>
    </w:p>
    <w:p w14:paraId="3AC70EEB" w14:textId="7DBA7AD4" w:rsidR="00C23C9D" w:rsidRPr="007935EF" w:rsidRDefault="7D3B28CD" w:rsidP="7D3B28CD">
      <w:pPr>
        <w:pStyle w:val="Paragraphedeliste"/>
        <w:numPr>
          <w:ilvl w:val="2"/>
          <w:numId w:val="1"/>
        </w:numPr>
        <w:rPr>
          <w:rFonts w:asciiTheme="majorHAnsi" w:eastAsiaTheme="majorEastAsia" w:hAnsiTheme="majorHAnsi" w:cstheme="majorBidi"/>
          <w:sz w:val="20"/>
          <w:szCs w:val="20"/>
        </w:rPr>
      </w:pPr>
      <w:r w:rsidRPr="7D3B28CD">
        <w:rPr>
          <w:rFonts w:asciiTheme="majorHAnsi" w:eastAsiaTheme="majorEastAsia" w:hAnsiTheme="majorHAnsi" w:cstheme="majorBidi"/>
          <w:sz w:val="20"/>
          <w:szCs w:val="20"/>
        </w:rPr>
        <w:t>Engage and encourage member organizations to engage in coalitions, recognizing that the partnerships need to reflect the context of national situations.</w:t>
      </w:r>
    </w:p>
    <w:p w14:paraId="01941E73" w14:textId="687398A8" w:rsidR="00C23C9D" w:rsidRPr="007935EF" w:rsidRDefault="7D3B28CD" w:rsidP="7D3B28CD">
      <w:pPr>
        <w:pStyle w:val="Paragraphedeliste"/>
        <w:numPr>
          <w:ilvl w:val="2"/>
          <w:numId w:val="1"/>
        </w:numPr>
        <w:rPr>
          <w:rFonts w:asciiTheme="majorHAnsi" w:eastAsiaTheme="majorEastAsia" w:hAnsiTheme="majorHAnsi" w:cstheme="majorBidi"/>
          <w:sz w:val="20"/>
          <w:szCs w:val="20"/>
        </w:rPr>
      </w:pPr>
      <w:r w:rsidRPr="7D3B28CD">
        <w:rPr>
          <w:rFonts w:asciiTheme="majorHAnsi" w:eastAsiaTheme="majorEastAsia" w:hAnsiTheme="majorHAnsi" w:cstheme="majorBidi"/>
          <w:sz w:val="20"/>
          <w:szCs w:val="20"/>
        </w:rPr>
        <w:t>Develop a strategy for cooperation</w:t>
      </w:r>
    </w:p>
    <w:p w14:paraId="2A60C36C" w14:textId="0E28DE3F" w:rsidR="00C23C9D" w:rsidRPr="007935EF" w:rsidRDefault="7D3B28CD" w:rsidP="7D3B28CD">
      <w:pPr>
        <w:pStyle w:val="Paragraphedeliste"/>
        <w:numPr>
          <w:ilvl w:val="2"/>
          <w:numId w:val="1"/>
        </w:numPr>
        <w:rPr>
          <w:rFonts w:asciiTheme="majorHAnsi" w:eastAsiaTheme="majorEastAsia" w:hAnsiTheme="majorHAnsi" w:cstheme="majorBidi"/>
          <w:sz w:val="20"/>
          <w:szCs w:val="20"/>
        </w:rPr>
      </w:pPr>
      <w:r w:rsidRPr="7D3B28CD">
        <w:rPr>
          <w:rFonts w:asciiTheme="majorHAnsi" w:eastAsiaTheme="majorEastAsia" w:hAnsiTheme="majorHAnsi" w:cstheme="majorBidi"/>
          <w:sz w:val="20"/>
          <w:szCs w:val="20"/>
        </w:rPr>
        <w:t>With a view to address different levels of recommendations, establish umbrella coalitions at international and national level to support and promote the establishment of local level coalitions.</w:t>
      </w:r>
    </w:p>
    <w:p w14:paraId="5D35CF10" w14:textId="3F42E8E9"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Empower members to engage or build coalitions at local and national level, bringing together multiple stakeholders</w:t>
      </w:r>
    </w:p>
    <w:p w14:paraId="7455936E" w14:textId="5C415159"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Engage and develop networks across countries that share common challenges</w:t>
      </w:r>
    </w:p>
    <w:p w14:paraId="1205D9CD" w14:textId="141FC302" w:rsidR="00C23C9D" w:rsidRPr="00FF049C" w:rsidRDefault="00C23C9D" w:rsidP="0BE63F1D">
      <w:pPr>
        <w:ind w:left="1843" w:hanging="1843"/>
        <w:rPr>
          <w:rFonts w:asciiTheme="majorHAnsi" w:eastAsiaTheme="majorEastAsia" w:hAnsiTheme="majorHAnsi" w:cstheme="majorBidi"/>
          <w:sz w:val="20"/>
          <w:szCs w:val="20"/>
          <w:lang w:val="en-US"/>
        </w:rPr>
      </w:pPr>
      <w:r w:rsidRPr="0BE63F1D">
        <w:rPr>
          <w:rFonts w:asciiTheme="majorHAnsi" w:eastAsiaTheme="majorEastAsia" w:hAnsiTheme="majorHAnsi" w:cstheme="majorBidi"/>
          <w:sz w:val="20"/>
          <w:szCs w:val="20"/>
        </w:rPr>
        <w:t xml:space="preserve">Recommendation 78.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Convene resources of parents’ and students’ organisations, teachers and teacher representatives to strengthen</w:t>
      </w:r>
      <w:r w:rsidRPr="0BE63F1D">
        <w:rPr>
          <w:rFonts w:asciiTheme="majorHAnsi" w:eastAsiaTheme="majorEastAsia" w:hAnsiTheme="majorHAnsi" w:cstheme="majorBidi"/>
          <w:sz w:val="20"/>
          <w:szCs w:val="20"/>
          <w:lang w:val="en-US"/>
        </w:rPr>
        <w:t xml:space="preserve"> collective actions vis-à-vis local and state authorities.</w:t>
      </w:r>
    </w:p>
    <w:p w14:paraId="05814440" w14:textId="77777777" w:rsidR="00C23C9D" w:rsidRPr="00FF049C" w:rsidRDefault="00C23C9D" w:rsidP="0BE63F1D">
      <w:pPr>
        <w:pStyle w:val="Titre2"/>
        <w:rPr>
          <w:b/>
          <w:bCs/>
          <w:color w:val="5B9BD5" w:themeColor="accent5"/>
          <w:sz w:val="32"/>
          <w:szCs w:val="32"/>
        </w:rPr>
      </w:pPr>
      <w:bookmarkStart w:id="34" w:name="_Toc470031666"/>
      <w:r w:rsidRPr="0BE63F1D">
        <w:rPr>
          <w:b/>
          <w:bCs/>
          <w:color w:val="5B9BD5" w:themeColor="accent5"/>
          <w:sz w:val="32"/>
          <w:szCs w:val="32"/>
        </w:rPr>
        <w:lastRenderedPageBreak/>
        <w:t>Sustainable Development Goals</w:t>
      </w:r>
      <w:bookmarkEnd w:id="34"/>
    </w:p>
    <w:p w14:paraId="4B23F642" w14:textId="7FF37453"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79.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Make the SDGs known and ensure their customization (e.g. union plans, national action plans, policies, legislation).</w:t>
      </w:r>
    </w:p>
    <w:p w14:paraId="3DAB25DB" w14:textId="3067D467"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80.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Put pressure on governments and the international community through targeted advocacy for:</w:t>
      </w:r>
    </w:p>
    <w:p w14:paraId="69D82144" w14:textId="77777777" w:rsidR="00C23C9D" w:rsidRPr="00FF049C" w:rsidRDefault="0BE63F1D" w:rsidP="0BE63F1D">
      <w:pPr>
        <w:ind w:left="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Education financing</w:t>
      </w:r>
    </w:p>
    <w:p w14:paraId="23811E53" w14:textId="77777777" w:rsidR="00C23C9D" w:rsidRPr="00FF049C" w:rsidRDefault="0BE63F1D" w:rsidP="0BE63F1D">
      <w:pPr>
        <w:ind w:left="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Investment in teachers (recruitment, continuous professional development, remuneration, etc.)</w:t>
      </w:r>
    </w:p>
    <w:p w14:paraId="2B7509DB" w14:textId="77777777" w:rsidR="00C23C9D" w:rsidRPr="00FF049C" w:rsidRDefault="0BE63F1D" w:rsidP="0BE63F1D">
      <w:pPr>
        <w:ind w:left="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Recognition of qualifications of refugee teachers</w:t>
      </w:r>
    </w:p>
    <w:p w14:paraId="4407D6C6" w14:textId="22346205"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81.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Unions and Education International should participate in national, regional, and global consultations, supported through research, empirical evidence and strengthened and sustainable partnerships.</w:t>
      </w:r>
    </w:p>
    <w:p w14:paraId="7BC736F4" w14:textId="6BFB8887" w:rsidR="00C23C9D" w:rsidRPr="00FF049C"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82.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Education International should delineate where international partnerships and relationships already exist and provide a timeline as to when and where intervention meetings will occur.</w:t>
      </w:r>
    </w:p>
    <w:p w14:paraId="2494245B" w14:textId="77777777" w:rsidR="00C23C9D" w:rsidRPr="00FF049C" w:rsidRDefault="00C23C9D" w:rsidP="0BE63F1D">
      <w:pPr>
        <w:pStyle w:val="Titre2"/>
        <w:rPr>
          <w:b/>
          <w:bCs/>
          <w:color w:val="5B9BD5" w:themeColor="accent5"/>
          <w:sz w:val="32"/>
          <w:szCs w:val="32"/>
        </w:rPr>
      </w:pPr>
      <w:bookmarkStart w:id="35" w:name="_Toc470031667"/>
      <w:r w:rsidRPr="0BE63F1D">
        <w:rPr>
          <w:b/>
          <w:bCs/>
          <w:color w:val="5B9BD5" w:themeColor="accent5"/>
          <w:sz w:val="32"/>
          <w:szCs w:val="32"/>
        </w:rPr>
        <w:t>Supporting Global Networks</w:t>
      </w:r>
      <w:bookmarkEnd w:id="35"/>
    </w:p>
    <w:p w14:paraId="62437852" w14:textId="0030153E" w:rsidR="00C23C9D" w:rsidRPr="00FF049C"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83.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A global teachers virtual online network could enhance the professionalism of teachers by providing opportunities for them to extend their professional support agencies. Such a network should be established on a safe, secure, non-commercial basis providing a multilingual communications platform within a trade union sponsored and monitored network.</w:t>
      </w:r>
    </w:p>
    <w:p w14:paraId="516BC3A5" w14:textId="3CC53A63"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84.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The network would be useful in enhancing the engagement of teachers with their unions and encouraging teachers to participate and support other union activities. </w:t>
      </w:r>
    </w:p>
    <w:p w14:paraId="2E3D7353" w14:textId="10012047"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85.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Education International should develop such a global online support network for teachers to facilitate professional interaction. The network should be flexible enough to accommodate the needs and interests of teachers, irrespective of the country in which they work or the language or cultural background of the teachers. It should be designed to be accessible to teachers on a non-cost basis to encourage and facilitate teachers participating in all socio-economic circumstances. </w:t>
      </w:r>
    </w:p>
    <w:p w14:paraId="067DFD97" w14:textId="78870282" w:rsidR="00C23C9D" w:rsidRPr="007935EF" w:rsidRDefault="00C23C9D"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86.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 xml:space="preserve">The network should be built on </w:t>
      </w:r>
      <w:r w:rsidR="00A7177F" w:rsidRPr="0BE63F1D">
        <w:rPr>
          <w:rFonts w:asciiTheme="majorHAnsi" w:eastAsiaTheme="majorEastAsia" w:hAnsiTheme="majorHAnsi" w:cstheme="majorBidi"/>
          <w:sz w:val="20"/>
          <w:szCs w:val="20"/>
        </w:rPr>
        <w:t xml:space="preserve">the work already done by unions, </w:t>
      </w:r>
      <w:r w:rsidRPr="0BE63F1D">
        <w:rPr>
          <w:rFonts w:asciiTheme="majorHAnsi" w:eastAsiaTheme="majorEastAsia" w:hAnsiTheme="majorHAnsi" w:cstheme="majorBidi"/>
          <w:sz w:val="20"/>
          <w:szCs w:val="20"/>
        </w:rPr>
        <w:t xml:space="preserve">agencies </w:t>
      </w:r>
      <w:r w:rsidR="00A7177F" w:rsidRPr="0BE63F1D">
        <w:rPr>
          <w:rFonts w:asciiTheme="majorHAnsi" w:eastAsiaTheme="majorEastAsia" w:hAnsiTheme="majorHAnsi" w:cstheme="majorBidi"/>
          <w:sz w:val="20"/>
          <w:szCs w:val="20"/>
        </w:rPr>
        <w:t>and regional networks</w:t>
      </w:r>
      <w:r w:rsidRPr="0BE63F1D">
        <w:rPr>
          <w:rFonts w:asciiTheme="majorHAnsi" w:eastAsiaTheme="majorEastAsia" w:hAnsiTheme="majorHAnsi" w:cstheme="majorBidi"/>
          <w:sz w:val="20"/>
          <w:szCs w:val="20"/>
        </w:rPr>
        <w:t>.</w:t>
      </w:r>
    </w:p>
    <w:p w14:paraId="2A763371" w14:textId="3F775209" w:rsidR="00C23C9D" w:rsidRPr="007935EF"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t xml:space="preserve">Recommendation 87.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Associated with the network, Education International should develop a Teacher’s Professional Passport which would provide a portable record for each individual teacher of their skills, interests, knowledge and professional achievements. Education International should try to ensure that the passport was recognized as a valid and accurate record of the professional status of the individual teacher.</w:t>
      </w:r>
    </w:p>
    <w:p w14:paraId="3FBA8763" w14:textId="60E9AA96" w:rsidR="00C679CD" w:rsidRPr="00FF049C" w:rsidRDefault="14993D27" w:rsidP="0BE63F1D">
      <w:pPr>
        <w:ind w:left="1843" w:hanging="1843"/>
        <w:rPr>
          <w:rFonts w:asciiTheme="majorHAnsi" w:eastAsiaTheme="majorEastAsia" w:hAnsiTheme="majorHAnsi" w:cstheme="majorBidi"/>
          <w:sz w:val="20"/>
          <w:szCs w:val="20"/>
        </w:rPr>
      </w:pPr>
      <w:r w:rsidRPr="0BE63F1D">
        <w:rPr>
          <w:rFonts w:asciiTheme="majorHAnsi" w:eastAsiaTheme="majorEastAsia" w:hAnsiTheme="majorHAnsi" w:cstheme="majorBidi"/>
          <w:sz w:val="20"/>
          <w:szCs w:val="20"/>
        </w:rPr>
        <w:lastRenderedPageBreak/>
        <w:t xml:space="preserve">Recommendation 88. </w:t>
      </w:r>
      <w:r w:rsidR="007935EF">
        <w:rPr>
          <w:rFonts w:asciiTheme="majorHAnsi" w:hAnsiTheme="majorHAnsi" w:cstheme="majorHAnsi"/>
          <w:sz w:val="20"/>
          <w:szCs w:val="20"/>
        </w:rPr>
        <w:tab/>
      </w:r>
      <w:r w:rsidRPr="0BE63F1D">
        <w:rPr>
          <w:rFonts w:asciiTheme="majorHAnsi" w:eastAsiaTheme="majorEastAsia" w:hAnsiTheme="majorHAnsi" w:cstheme="majorBidi"/>
          <w:sz w:val="20"/>
          <w:szCs w:val="20"/>
        </w:rPr>
        <w:t>Establishing such a network would necessitate addressing a number of issues including access (open or restricted), legal</w:t>
      </w:r>
      <w:r w:rsidRPr="0BE63F1D">
        <w:rPr>
          <w:rFonts w:asciiTheme="majorHAnsi" w:eastAsiaTheme="majorEastAsia" w:hAnsiTheme="majorHAnsi" w:cstheme="majorBidi"/>
          <w:sz w:val="20"/>
          <w:szCs w:val="20"/>
          <w:lang w:val="en-US"/>
        </w:rPr>
        <w:t xml:space="preserve"> issues (personal data and copyright), and partnerships (non-commercial and non-exploitive). </w:t>
      </w:r>
    </w:p>
    <w:sectPr w:rsidR="00C679CD" w:rsidRPr="00FF049C" w:rsidSect="00FF049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668"/>
    <w:multiLevelType w:val="hybridMultilevel"/>
    <w:tmpl w:val="2E90D1B4"/>
    <w:lvl w:ilvl="0" w:tplc="9E489656">
      <w:start w:val="1"/>
      <w:numFmt w:val="upperLetter"/>
      <w:lvlText w:val="%1."/>
      <w:lvlJc w:val="left"/>
      <w:pPr>
        <w:ind w:left="720" w:hanging="360"/>
      </w:pPr>
    </w:lvl>
    <w:lvl w:ilvl="1" w:tplc="02CCBF3A">
      <w:start w:val="1"/>
      <w:numFmt w:val="lowerLetter"/>
      <w:lvlText w:val="%2."/>
      <w:lvlJc w:val="left"/>
      <w:pPr>
        <w:ind w:left="1440" w:hanging="360"/>
      </w:pPr>
    </w:lvl>
    <w:lvl w:ilvl="2" w:tplc="B59E0808">
      <w:start w:val="1"/>
      <w:numFmt w:val="lowerRoman"/>
      <w:lvlText w:val="%3."/>
      <w:lvlJc w:val="right"/>
      <w:pPr>
        <w:ind w:left="2160" w:hanging="180"/>
      </w:pPr>
    </w:lvl>
    <w:lvl w:ilvl="3" w:tplc="553A1B9A">
      <w:start w:val="1"/>
      <w:numFmt w:val="decimal"/>
      <w:lvlText w:val="%4."/>
      <w:lvlJc w:val="left"/>
      <w:pPr>
        <w:ind w:left="2880" w:hanging="360"/>
      </w:pPr>
    </w:lvl>
    <w:lvl w:ilvl="4" w:tplc="6B66C632">
      <w:start w:val="1"/>
      <w:numFmt w:val="lowerLetter"/>
      <w:lvlText w:val="%5."/>
      <w:lvlJc w:val="left"/>
      <w:pPr>
        <w:ind w:left="3600" w:hanging="360"/>
      </w:pPr>
    </w:lvl>
    <w:lvl w:ilvl="5" w:tplc="2334FBB4">
      <w:start w:val="1"/>
      <w:numFmt w:val="lowerRoman"/>
      <w:lvlText w:val="%6."/>
      <w:lvlJc w:val="right"/>
      <w:pPr>
        <w:ind w:left="4320" w:hanging="180"/>
      </w:pPr>
    </w:lvl>
    <w:lvl w:ilvl="6" w:tplc="B5C85ED2">
      <w:start w:val="1"/>
      <w:numFmt w:val="decimal"/>
      <w:lvlText w:val="%7."/>
      <w:lvlJc w:val="left"/>
      <w:pPr>
        <w:ind w:left="5040" w:hanging="360"/>
      </w:pPr>
    </w:lvl>
    <w:lvl w:ilvl="7" w:tplc="300456BE">
      <w:start w:val="1"/>
      <w:numFmt w:val="lowerLetter"/>
      <w:lvlText w:val="%8."/>
      <w:lvlJc w:val="left"/>
      <w:pPr>
        <w:ind w:left="5760" w:hanging="360"/>
      </w:pPr>
    </w:lvl>
    <w:lvl w:ilvl="8" w:tplc="26225BD8">
      <w:start w:val="1"/>
      <w:numFmt w:val="lowerRoman"/>
      <w:lvlText w:val="%9."/>
      <w:lvlJc w:val="right"/>
      <w:pPr>
        <w:ind w:left="6480" w:hanging="180"/>
      </w:pPr>
    </w:lvl>
  </w:abstractNum>
  <w:abstractNum w:abstractNumId="1" w15:restartNumberingAfterBreak="0">
    <w:nsid w:val="11826589"/>
    <w:multiLevelType w:val="hybridMultilevel"/>
    <w:tmpl w:val="E8AEF4B6"/>
    <w:lvl w:ilvl="0" w:tplc="A3D80062">
      <w:start w:val="1"/>
      <w:numFmt w:val="upperLetter"/>
      <w:lvlText w:val="%1."/>
      <w:lvlJc w:val="left"/>
      <w:pPr>
        <w:ind w:left="720" w:hanging="360"/>
      </w:pPr>
    </w:lvl>
    <w:lvl w:ilvl="1" w:tplc="275EBCDA">
      <w:start w:val="1"/>
      <w:numFmt w:val="lowerLetter"/>
      <w:lvlText w:val="%2."/>
      <w:lvlJc w:val="left"/>
      <w:pPr>
        <w:ind w:left="1440" w:hanging="360"/>
      </w:pPr>
    </w:lvl>
    <w:lvl w:ilvl="2" w:tplc="87EE3758">
      <w:start w:val="1"/>
      <w:numFmt w:val="lowerRoman"/>
      <w:lvlText w:val="%3."/>
      <w:lvlJc w:val="right"/>
      <w:pPr>
        <w:ind w:left="2160" w:hanging="180"/>
      </w:pPr>
    </w:lvl>
    <w:lvl w:ilvl="3" w:tplc="9DE26740">
      <w:start w:val="1"/>
      <w:numFmt w:val="decimal"/>
      <w:lvlText w:val="%4."/>
      <w:lvlJc w:val="left"/>
      <w:pPr>
        <w:ind w:left="2880" w:hanging="360"/>
      </w:pPr>
    </w:lvl>
    <w:lvl w:ilvl="4" w:tplc="75B05A1E">
      <w:start w:val="1"/>
      <w:numFmt w:val="lowerLetter"/>
      <w:lvlText w:val="%5."/>
      <w:lvlJc w:val="left"/>
      <w:pPr>
        <w:ind w:left="3600" w:hanging="360"/>
      </w:pPr>
    </w:lvl>
    <w:lvl w:ilvl="5" w:tplc="B8AC0E7E">
      <w:start w:val="1"/>
      <w:numFmt w:val="lowerRoman"/>
      <w:lvlText w:val="%6."/>
      <w:lvlJc w:val="right"/>
      <w:pPr>
        <w:ind w:left="4320" w:hanging="180"/>
      </w:pPr>
    </w:lvl>
    <w:lvl w:ilvl="6" w:tplc="41724620">
      <w:start w:val="1"/>
      <w:numFmt w:val="decimal"/>
      <w:lvlText w:val="%7."/>
      <w:lvlJc w:val="left"/>
      <w:pPr>
        <w:ind w:left="5040" w:hanging="360"/>
      </w:pPr>
    </w:lvl>
    <w:lvl w:ilvl="7" w:tplc="C714FEB4">
      <w:start w:val="1"/>
      <w:numFmt w:val="lowerLetter"/>
      <w:lvlText w:val="%8."/>
      <w:lvlJc w:val="left"/>
      <w:pPr>
        <w:ind w:left="5760" w:hanging="360"/>
      </w:pPr>
    </w:lvl>
    <w:lvl w:ilvl="8" w:tplc="E2349F18">
      <w:start w:val="1"/>
      <w:numFmt w:val="lowerRoman"/>
      <w:lvlText w:val="%9."/>
      <w:lvlJc w:val="right"/>
      <w:pPr>
        <w:ind w:left="6480" w:hanging="180"/>
      </w:pPr>
    </w:lvl>
  </w:abstractNum>
  <w:abstractNum w:abstractNumId="2" w15:restartNumberingAfterBreak="0">
    <w:nsid w:val="18A51CC8"/>
    <w:multiLevelType w:val="hybridMultilevel"/>
    <w:tmpl w:val="DA662B5C"/>
    <w:lvl w:ilvl="0" w:tplc="EEDE404E">
      <w:start w:val="1"/>
      <w:numFmt w:val="upperLetter"/>
      <w:lvlText w:val="%1."/>
      <w:lvlJc w:val="left"/>
      <w:pPr>
        <w:ind w:left="720" w:hanging="360"/>
      </w:pPr>
    </w:lvl>
    <w:lvl w:ilvl="1" w:tplc="47FE31CE">
      <w:start w:val="1"/>
      <w:numFmt w:val="lowerLetter"/>
      <w:lvlText w:val="%2."/>
      <w:lvlJc w:val="left"/>
      <w:pPr>
        <w:ind w:left="1440" w:hanging="360"/>
      </w:pPr>
    </w:lvl>
    <w:lvl w:ilvl="2" w:tplc="F3D61374">
      <w:start w:val="1"/>
      <w:numFmt w:val="lowerRoman"/>
      <w:lvlText w:val="%3."/>
      <w:lvlJc w:val="right"/>
      <w:pPr>
        <w:ind w:left="2160" w:hanging="180"/>
      </w:pPr>
    </w:lvl>
    <w:lvl w:ilvl="3" w:tplc="AF2496F4">
      <w:start w:val="1"/>
      <w:numFmt w:val="decimal"/>
      <w:lvlText w:val="%4."/>
      <w:lvlJc w:val="left"/>
      <w:pPr>
        <w:ind w:left="2880" w:hanging="360"/>
      </w:pPr>
    </w:lvl>
    <w:lvl w:ilvl="4" w:tplc="9F283B32">
      <w:start w:val="1"/>
      <w:numFmt w:val="lowerLetter"/>
      <w:lvlText w:val="%5."/>
      <w:lvlJc w:val="left"/>
      <w:pPr>
        <w:ind w:left="3600" w:hanging="360"/>
      </w:pPr>
    </w:lvl>
    <w:lvl w:ilvl="5" w:tplc="683E9788">
      <w:start w:val="1"/>
      <w:numFmt w:val="lowerRoman"/>
      <w:lvlText w:val="%6."/>
      <w:lvlJc w:val="right"/>
      <w:pPr>
        <w:ind w:left="4320" w:hanging="180"/>
      </w:pPr>
    </w:lvl>
    <w:lvl w:ilvl="6" w:tplc="E780C6C2">
      <w:start w:val="1"/>
      <w:numFmt w:val="decimal"/>
      <w:lvlText w:val="%7."/>
      <w:lvlJc w:val="left"/>
      <w:pPr>
        <w:ind w:left="5040" w:hanging="360"/>
      </w:pPr>
    </w:lvl>
    <w:lvl w:ilvl="7" w:tplc="A22AB66C">
      <w:start w:val="1"/>
      <w:numFmt w:val="lowerLetter"/>
      <w:lvlText w:val="%8."/>
      <w:lvlJc w:val="left"/>
      <w:pPr>
        <w:ind w:left="5760" w:hanging="360"/>
      </w:pPr>
    </w:lvl>
    <w:lvl w:ilvl="8" w:tplc="C70E0E42">
      <w:start w:val="1"/>
      <w:numFmt w:val="lowerRoman"/>
      <w:lvlText w:val="%9."/>
      <w:lvlJc w:val="right"/>
      <w:pPr>
        <w:ind w:left="6480" w:hanging="180"/>
      </w:pPr>
    </w:lvl>
  </w:abstractNum>
  <w:abstractNum w:abstractNumId="3" w15:restartNumberingAfterBreak="0">
    <w:nsid w:val="1D266ADD"/>
    <w:multiLevelType w:val="hybridMultilevel"/>
    <w:tmpl w:val="C9F4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0D20"/>
    <w:multiLevelType w:val="hybridMultilevel"/>
    <w:tmpl w:val="61709BA8"/>
    <w:lvl w:ilvl="0" w:tplc="0D527246">
      <w:start w:val="1"/>
      <w:numFmt w:val="upperLetter"/>
      <w:lvlText w:val="%1."/>
      <w:lvlJc w:val="left"/>
      <w:pPr>
        <w:ind w:left="720" w:hanging="360"/>
      </w:pPr>
    </w:lvl>
    <w:lvl w:ilvl="1" w:tplc="443E7C12">
      <w:start w:val="1"/>
      <w:numFmt w:val="lowerLetter"/>
      <w:lvlText w:val="%2."/>
      <w:lvlJc w:val="left"/>
      <w:pPr>
        <w:ind w:left="1440" w:hanging="360"/>
      </w:pPr>
    </w:lvl>
    <w:lvl w:ilvl="2" w:tplc="63C88674">
      <w:start w:val="1"/>
      <w:numFmt w:val="lowerRoman"/>
      <w:lvlText w:val="%3."/>
      <w:lvlJc w:val="right"/>
      <w:pPr>
        <w:ind w:left="2160" w:hanging="180"/>
      </w:pPr>
    </w:lvl>
    <w:lvl w:ilvl="3" w:tplc="8D72F6F8">
      <w:start w:val="1"/>
      <w:numFmt w:val="decimal"/>
      <w:lvlText w:val="%4."/>
      <w:lvlJc w:val="left"/>
      <w:pPr>
        <w:ind w:left="2880" w:hanging="360"/>
      </w:pPr>
    </w:lvl>
    <w:lvl w:ilvl="4" w:tplc="36641982">
      <w:start w:val="1"/>
      <w:numFmt w:val="lowerLetter"/>
      <w:lvlText w:val="%5."/>
      <w:lvlJc w:val="left"/>
      <w:pPr>
        <w:ind w:left="3600" w:hanging="360"/>
      </w:pPr>
    </w:lvl>
    <w:lvl w:ilvl="5" w:tplc="EF14672E">
      <w:start w:val="1"/>
      <w:numFmt w:val="lowerRoman"/>
      <w:lvlText w:val="%6."/>
      <w:lvlJc w:val="right"/>
      <w:pPr>
        <w:ind w:left="4320" w:hanging="180"/>
      </w:pPr>
    </w:lvl>
    <w:lvl w:ilvl="6" w:tplc="C436BD92">
      <w:start w:val="1"/>
      <w:numFmt w:val="decimal"/>
      <w:lvlText w:val="%7."/>
      <w:lvlJc w:val="left"/>
      <w:pPr>
        <w:ind w:left="5040" w:hanging="360"/>
      </w:pPr>
    </w:lvl>
    <w:lvl w:ilvl="7" w:tplc="329605CE">
      <w:start w:val="1"/>
      <w:numFmt w:val="lowerLetter"/>
      <w:lvlText w:val="%8."/>
      <w:lvlJc w:val="left"/>
      <w:pPr>
        <w:ind w:left="5760" w:hanging="360"/>
      </w:pPr>
    </w:lvl>
    <w:lvl w:ilvl="8" w:tplc="E8A6BA36">
      <w:start w:val="1"/>
      <w:numFmt w:val="lowerRoman"/>
      <w:lvlText w:val="%9."/>
      <w:lvlJc w:val="right"/>
      <w:pPr>
        <w:ind w:left="6480" w:hanging="180"/>
      </w:pPr>
    </w:lvl>
  </w:abstractNum>
  <w:abstractNum w:abstractNumId="5" w15:restartNumberingAfterBreak="0">
    <w:nsid w:val="2E0D7575"/>
    <w:multiLevelType w:val="hybridMultilevel"/>
    <w:tmpl w:val="D0723282"/>
    <w:lvl w:ilvl="0" w:tplc="F74CA366">
      <w:start w:val="1"/>
      <w:numFmt w:val="upperLetter"/>
      <w:lvlText w:val="%1."/>
      <w:lvlJc w:val="left"/>
      <w:pPr>
        <w:ind w:left="720" w:hanging="360"/>
      </w:pPr>
    </w:lvl>
    <w:lvl w:ilvl="1" w:tplc="21E6E178">
      <w:start w:val="1"/>
      <w:numFmt w:val="lowerLetter"/>
      <w:lvlText w:val="%2."/>
      <w:lvlJc w:val="left"/>
      <w:pPr>
        <w:ind w:left="1440" w:hanging="360"/>
      </w:pPr>
    </w:lvl>
    <w:lvl w:ilvl="2" w:tplc="5C464142">
      <w:start w:val="1"/>
      <w:numFmt w:val="lowerRoman"/>
      <w:lvlText w:val="%3."/>
      <w:lvlJc w:val="right"/>
      <w:pPr>
        <w:ind w:left="2160" w:hanging="180"/>
      </w:pPr>
    </w:lvl>
    <w:lvl w:ilvl="3" w:tplc="072EB452">
      <w:start w:val="1"/>
      <w:numFmt w:val="decimal"/>
      <w:lvlText w:val="%4."/>
      <w:lvlJc w:val="left"/>
      <w:pPr>
        <w:ind w:left="2880" w:hanging="360"/>
      </w:pPr>
    </w:lvl>
    <w:lvl w:ilvl="4" w:tplc="1FD8F1B6">
      <w:start w:val="1"/>
      <w:numFmt w:val="lowerLetter"/>
      <w:lvlText w:val="%5."/>
      <w:lvlJc w:val="left"/>
      <w:pPr>
        <w:ind w:left="3600" w:hanging="360"/>
      </w:pPr>
    </w:lvl>
    <w:lvl w:ilvl="5" w:tplc="84DC53FA">
      <w:start w:val="1"/>
      <w:numFmt w:val="lowerRoman"/>
      <w:lvlText w:val="%6."/>
      <w:lvlJc w:val="right"/>
      <w:pPr>
        <w:ind w:left="4320" w:hanging="180"/>
      </w:pPr>
    </w:lvl>
    <w:lvl w:ilvl="6" w:tplc="FB42A632">
      <w:start w:val="1"/>
      <w:numFmt w:val="decimal"/>
      <w:lvlText w:val="%7."/>
      <w:lvlJc w:val="left"/>
      <w:pPr>
        <w:ind w:left="5040" w:hanging="360"/>
      </w:pPr>
    </w:lvl>
    <w:lvl w:ilvl="7" w:tplc="62ACC140">
      <w:start w:val="1"/>
      <w:numFmt w:val="lowerLetter"/>
      <w:lvlText w:val="%8."/>
      <w:lvlJc w:val="left"/>
      <w:pPr>
        <w:ind w:left="5760" w:hanging="360"/>
      </w:pPr>
    </w:lvl>
    <w:lvl w:ilvl="8" w:tplc="66B21972">
      <w:start w:val="1"/>
      <w:numFmt w:val="lowerRoman"/>
      <w:lvlText w:val="%9."/>
      <w:lvlJc w:val="right"/>
      <w:pPr>
        <w:ind w:left="6480" w:hanging="180"/>
      </w:pPr>
    </w:lvl>
  </w:abstractNum>
  <w:abstractNum w:abstractNumId="6" w15:restartNumberingAfterBreak="0">
    <w:nsid w:val="36232189"/>
    <w:multiLevelType w:val="hybridMultilevel"/>
    <w:tmpl w:val="84C86EAC"/>
    <w:lvl w:ilvl="0" w:tplc="16C29754">
      <w:start w:val="1"/>
      <w:numFmt w:val="upperLetter"/>
      <w:lvlText w:val="%1."/>
      <w:lvlJc w:val="left"/>
      <w:pPr>
        <w:ind w:left="785" w:hanging="360"/>
      </w:pPr>
    </w:lvl>
    <w:lvl w:ilvl="1" w:tplc="E5FA69BA">
      <w:start w:val="1"/>
      <w:numFmt w:val="lowerLetter"/>
      <w:lvlText w:val="%2."/>
      <w:lvlJc w:val="left"/>
      <w:pPr>
        <w:ind w:left="1505" w:hanging="360"/>
      </w:pPr>
    </w:lvl>
    <w:lvl w:ilvl="2" w:tplc="703C2E78">
      <w:start w:val="1"/>
      <w:numFmt w:val="lowerRoman"/>
      <w:lvlText w:val="%3."/>
      <w:lvlJc w:val="right"/>
      <w:pPr>
        <w:ind w:left="2225" w:hanging="180"/>
      </w:pPr>
    </w:lvl>
    <w:lvl w:ilvl="3" w:tplc="FBBE70C4">
      <w:start w:val="1"/>
      <w:numFmt w:val="decimal"/>
      <w:lvlText w:val="%4."/>
      <w:lvlJc w:val="left"/>
      <w:pPr>
        <w:ind w:left="2945" w:hanging="360"/>
      </w:pPr>
    </w:lvl>
    <w:lvl w:ilvl="4" w:tplc="8B1E92CE">
      <w:start w:val="1"/>
      <w:numFmt w:val="lowerLetter"/>
      <w:lvlText w:val="%5."/>
      <w:lvlJc w:val="left"/>
      <w:pPr>
        <w:ind w:left="3665" w:hanging="360"/>
      </w:pPr>
    </w:lvl>
    <w:lvl w:ilvl="5" w:tplc="6A94129A">
      <w:start w:val="1"/>
      <w:numFmt w:val="lowerRoman"/>
      <w:lvlText w:val="%6."/>
      <w:lvlJc w:val="right"/>
      <w:pPr>
        <w:ind w:left="4385" w:hanging="180"/>
      </w:pPr>
    </w:lvl>
    <w:lvl w:ilvl="6" w:tplc="E8BE6822">
      <w:start w:val="1"/>
      <w:numFmt w:val="decimal"/>
      <w:lvlText w:val="%7."/>
      <w:lvlJc w:val="left"/>
      <w:pPr>
        <w:ind w:left="5105" w:hanging="360"/>
      </w:pPr>
    </w:lvl>
    <w:lvl w:ilvl="7" w:tplc="35D6AFFA">
      <w:start w:val="1"/>
      <w:numFmt w:val="lowerLetter"/>
      <w:lvlText w:val="%8."/>
      <w:lvlJc w:val="left"/>
      <w:pPr>
        <w:ind w:left="5825" w:hanging="360"/>
      </w:pPr>
    </w:lvl>
    <w:lvl w:ilvl="8" w:tplc="AC084860">
      <w:start w:val="1"/>
      <w:numFmt w:val="lowerRoman"/>
      <w:lvlText w:val="%9."/>
      <w:lvlJc w:val="right"/>
      <w:pPr>
        <w:ind w:left="6545" w:hanging="180"/>
      </w:pPr>
    </w:lvl>
  </w:abstractNum>
  <w:abstractNum w:abstractNumId="7" w15:restartNumberingAfterBreak="0">
    <w:nsid w:val="37A97ACF"/>
    <w:multiLevelType w:val="hybridMultilevel"/>
    <w:tmpl w:val="4FDC42B8"/>
    <w:lvl w:ilvl="0" w:tplc="128E5472">
      <w:start w:val="4"/>
      <w:numFmt w:val="upperLetter"/>
      <w:lvlText w:val="%1."/>
      <w:lvlJc w:val="left"/>
      <w:pPr>
        <w:ind w:left="720" w:hanging="360"/>
      </w:pPr>
    </w:lvl>
    <w:lvl w:ilvl="1" w:tplc="EBCEEC90">
      <w:start w:val="1"/>
      <w:numFmt w:val="lowerLetter"/>
      <w:lvlText w:val="%2."/>
      <w:lvlJc w:val="left"/>
      <w:pPr>
        <w:ind w:left="1440" w:hanging="360"/>
      </w:pPr>
    </w:lvl>
    <w:lvl w:ilvl="2" w:tplc="E21AA376">
      <w:start w:val="1"/>
      <w:numFmt w:val="lowerRoman"/>
      <w:lvlText w:val="%3."/>
      <w:lvlJc w:val="right"/>
      <w:pPr>
        <w:ind w:left="2160" w:hanging="180"/>
      </w:pPr>
    </w:lvl>
    <w:lvl w:ilvl="3" w:tplc="97702AEA">
      <w:start w:val="1"/>
      <w:numFmt w:val="decimal"/>
      <w:lvlText w:val="%4."/>
      <w:lvlJc w:val="left"/>
      <w:pPr>
        <w:ind w:left="2880" w:hanging="360"/>
      </w:pPr>
    </w:lvl>
    <w:lvl w:ilvl="4" w:tplc="CEC0532E">
      <w:start w:val="1"/>
      <w:numFmt w:val="lowerLetter"/>
      <w:lvlText w:val="%5."/>
      <w:lvlJc w:val="left"/>
      <w:pPr>
        <w:ind w:left="3600" w:hanging="360"/>
      </w:pPr>
    </w:lvl>
    <w:lvl w:ilvl="5" w:tplc="761234C8">
      <w:start w:val="1"/>
      <w:numFmt w:val="lowerRoman"/>
      <w:lvlText w:val="%6."/>
      <w:lvlJc w:val="right"/>
      <w:pPr>
        <w:ind w:left="4320" w:hanging="180"/>
      </w:pPr>
    </w:lvl>
    <w:lvl w:ilvl="6" w:tplc="6F00EF30">
      <w:start w:val="1"/>
      <w:numFmt w:val="decimal"/>
      <w:lvlText w:val="%7."/>
      <w:lvlJc w:val="left"/>
      <w:pPr>
        <w:ind w:left="5040" w:hanging="360"/>
      </w:pPr>
    </w:lvl>
    <w:lvl w:ilvl="7" w:tplc="ACD03102">
      <w:start w:val="1"/>
      <w:numFmt w:val="lowerLetter"/>
      <w:lvlText w:val="%8."/>
      <w:lvlJc w:val="left"/>
      <w:pPr>
        <w:ind w:left="5760" w:hanging="360"/>
      </w:pPr>
    </w:lvl>
    <w:lvl w:ilvl="8" w:tplc="6B0AFAF6">
      <w:start w:val="1"/>
      <w:numFmt w:val="lowerRoman"/>
      <w:lvlText w:val="%9."/>
      <w:lvlJc w:val="right"/>
      <w:pPr>
        <w:ind w:left="6480" w:hanging="180"/>
      </w:pPr>
    </w:lvl>
  </w:abstractNum>
  <w:abstractNum w:abstractNumId="8" w15:restartNumberingAfterBreak="0">
    <w:nsid w:val="3A1620DC"/>
    <w:multiLevelType w:val="hybridMultilevel"/>
    <w:tmpl w:val="89CA6F60"/>
    <w:lvl w:ilvl="0" w:tplc="210648E4">
      <w:start w:val="1"/>
      <w:numFmt w:val="upperLetter"/>
      <w:lvlText w:val="%1."/>
      <w:lvlJc w:val="left"/>
      <w:pPr>
        <w:ind w:left="720" w:hanging="360"/>
      </w:pPr>
    </w:lvl>
    <w:lvl w:ilvl="1" w:tplc="C50AB3AE">
      <w:start w:val="1"/>
      <w:numFmt w:val="lowerLetter"/>
      <w:lvlText w:val="%2."/>
      <w:lvlJc w:val="left"/>
      <w:pPr>
        <w:ind w:left="1440" w:hanging="360"/>
      </w:pPr>
    </w:lvl>
    <w:lvl w:ilvl="2" w:tplc="91D408BA">
      <w:start w:val="1"/>
      <w:numFmt w:val="lowerRoman"/>
      <w:lvlText w:val="%3."/>
      <w:lvlJc w:val="right"/>
      <w:pPr>
        <w:ind w:left="2160" w:hanging="180"/>
      </w:pPr>
    </w:lvl>
    <w:lvl w:ilvl="3" w:tplc="237A808C">
      <w:start w:val="1"/>
      <w:numFmt w:val="decimal"/>
      <w:lvlText w:val="%4."/>
      <w:lvlJc w:val="left"/>
      <w:pPr>
        <w:ind w:left="2880" w:hanging="360"/>
      </w:pPr>
    </w:lvl>
    <w:lvl w:ilvl="4" w:tplc="F0BE5C54">
      <w:start w:val="1"/>
      <w:numFmt w:val="lowerLetter"/>
      <w:lvlText w:val="%5."/>
      <w:lvlJc w:val="left"/>
      <w:pPr>
        <w:ind w:left="3600" w:hanging="360"/>
      </w:pPr>
    </w:lvl>
    <w:lvl w:ilvl="5" w:tplc="608C73D0">
      <w:start w:val="1"/>
      <w:numFmt w:val="lowerRoman"/>
      <w:lvlText w:val="%6."/>
      <w:lvlJc w:val="right"/>
      <w:pPr>
        <w:ind w:left="4320" w:hanging="180"/>
      </w:pPr>
    </w:lvl>
    <w:lvl w:ilvl="6" w:tplc="8E76E898">
      <w:start w:val="1"/>
      <w:numFmt w:val="decimal"/>
      <w:lvlText w:val="%7."/>
      <w:lvlJc w:val="left"/>
      <w:pPr>
        <w:ind w:left="5040" w:hanging="360"/>
      </w:pPr>
    </w:lvl>
    <w:lvl w:ilvl="7" w:tplc="C60677B2">
      <w:start w:val="1"/>
      <w:numFmt w:val="lowerLetter"/>
      <w:lvlText w:val="%8."/>
      <w:lvlJc w:val="left"/>
      <w:pPr>
        <w:ind w:left="5760" w:hanging="360"/>
      </w:pPr>
    </w:lvl>
    <w:lvl w:ilvl="8" w:tplc="728832BA">
      <w:start w:val="1"/>
      <w:numFmt w:val="lowerRoman"/>
      <w:lvlText w:val="%9."/>
      <w:lvlJc w:val="right"/>
      <w:pPr>
        <w:ind w:left="6480" w:hanging="180"/>
      </w:pPr>
    </w:lvl>
  </w:abstractNum>
  <w:abstractNum w:abstractNumId="9" w15:restartNumberingAfterBreak="0">
    <w:nsid w:val="3CED1C95"/>
    <w:multiLevelType w:val="hybridMultilevel"/>
    <w:tmpl w:val="9342F828"/>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32CE9"/>
    <w:multiLevelType w:val="hybridMultilevel"/>
    <w:tmpl w:val="2856D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E5C49"/>
    <w:multiLevelType w:val="hybridMultilevel"/>
    <w:tmpl w:val="5A40A454"/>
    <w:lvl w:ilvl="0" w:tplc="AE1C101A">
      <w:start w:val="1"/>
      <w:numFmt w:val="bullet"/>
      <w:lvlText w:val=""/>
      <w:lvlJc w:val="left"/>
      <w:pPr>
        <w:ind w:left="720" w:hanging="360"/>
      </w:pPr>
      <w:rPr>
        <w:rFonts w:ascii="Symbol" w:hAnsi="Symbol" w:hint="default"/>
      </w:rPr>
    </w:lvl>
    <w:lvl w:ilvl="1" w:tplc="0100D67C">
      <w:start w:val="1"/>
      <w:numFmt w:val="bullet"/>
      <w:lvlText w:val="o"/>
      <w:lvlJc w:val="left"/>
      <w:pPr>
        <w:ind w:left="1440" w:hanging="360"/>
      </w:pPr>
      <w:rPr>
        <w:rFonts w:ascii="Courier New" w:hAnsi="Courier New" w:hint="default"/>
      </w:rPr>
    </w:lvl>
    <w:lvl w:ilvl="2" w:tplc="06E00E68">
      <w:start w:val="1"/>
      <w:numFmt w:val="bullet"/>
      <w:lvlText w:val=""/>
      <w:lvlJc w:val="left"/>
      <w:pPr>
        <w:ind w:left="2160" w:hanging="360"/>
      </w:pPr>
      <w:rPr>
        <w:rFonts w:ascii="Wingdings" w:hAnsi="Wingdings" w:hint="default"/>
      </w:rPr>
    </w:lvl>
    <w:lvl w:ilvl="3" w:tplc="0A8043D2">
      <w:start w:val="1"/>
      <w:numFmt w:val="bullet"/>
      <w:lvlText w:val=""/>
      <w:lvlJc w:val="left"/>
      <w:pPr>
        <w:ind w:left="2880" w:hanging="360"/>
      </w:pPr>
      <w:rPr>
        <w:rFonts w:ascii="Symbol" w:hAnsi="Symbol" w:hint="default"/>
      </w:rPr>
    </w:lvl>
    <w:lvl w:ilvl="4" w:tplc="5E741B12">
      <w:start w:val="1"/>
      <w:numFmt w:val="bullet"/>
      <w:lvlText w:val="o"/>
      <w:lvlJc w:val="left"/>
      <w:pPr>
        <w:ind w:left="3600" w:hanging="360"/>
      </w:pPr>
      <w:rPr>
        <w:rFonts w:ascii="Courier New" w:hAnsi="Courier New" w:hint="default"/>
      </w:rPr>
    </w:lvl>
    <w:lvl w:ilvl="5" w:tplc="CEE23BCC">
      <w:start w:val="1"/>
      <w:numFmt w:val="bullet"/>
      <w:lvlText w:val=""/>
      <w:lvlJc w:val="left"/>
      <w:pPr>
        <w:ind w:left="4320" w:hanging="360"/>
      </w:pPr>
      <w:rPr>
        <w:rFonts w:ascii="Wingdings" w:hAnsi="Wingdings" w:hint="default"/>
      </w:rPr>
    </w:lvl>
    <w:lvl w:ilvl="6" w:tplc="75D4C1DC">
      <w:start w:val="1"/>
      <w:numFmt w:val="bullet"/>
      <w:lvlText w:val=""/>
      <w:lvlJc w:val="left"/>
      <w:pPr>
        <w:ind w:left="5040" w:hanging="360"/>
      </w:pPr>
      <w:rPr>
        <w:rFonts w:ascii="Symbol" w:hAnsi="Symbol" w:hint="default"/>
      </w:rPr>
    </w:lvl>
    <w:lvl w:ilvl="7" w:tplc="89A8745C">
      <w:start w:val="1"/>
      <w:numFmt w:val="bullet"/>
      <w:lvlText w:val="o"/>
      <w:lvlJc w:val="left"/>
      <w:pPr>
        <w:ind w:left="5760" w:hanging="360"/>
      </w:pPr>
      <w:rPr>
        <w:rFonts w:ascii="Courier New" w:hAnsi="Courier New" w:hint="default"/>
      </w:rPr>
    </w:lvl>
    <w:lvl w:ilvl="8" w:tplc="6DD4D98A">
      <w:start w:val="1"/>
      <w:numFmt w:val="bullet"/>
      <w:lvlText w:val=""/>
      <w:lvlJc w:val="left"/>
      <w:pPr>
        <w:ind w:left="6480" w:hanging="360"/>
      </w:pPr>
      <w:rPr>
        <w:rFonts w:ascii="Wingdings" w:hAnsi="Wingdings" w:hint="default"/>
      </w:rPr>
    </w:lvl>
  </w:abstractNum>
  <w:abstractNum w:abstractNumId="12" w15:restartNumberingAfterBreak="0">
    <w:nsid w:val="63F73EC8"/>
    <w:multiLevelType w:val="hybridMultilevel"/>
    <w:tmpl w:val="6248FB0A"/>
    <w:lvl w:ilvl="0" w:tplc="5CC68A0E">
      <w:start w:val="1"/>
      <w:numFmt w:val="decimal"/>
      <w:lvlText w:val="%1."/>
      <w:lvlJc w:val="left"/>
      <w:pPr>
        <w:ind w:left="720" w:hanging="360"/>
      </w:pPr>
    </w:lvl>
    <w:lvl w:ilvl="1" w:tplc="E1F630AA">
      <w:start w:val="1"/>
      <w:numFmt w:val="lowerLetter"/>
      <w:lvlText w:val="%2."/>
      <w:lvlJc w:val="left"/>
      <w:pPr>
        <w:ind w:left="1440" w:hanging="360"/>
      </w:pPr>
    </w:lvl>
    <w:lvl w:ilvl="2" w:tplc="394A30D6">
      <w:start w:val="1"/>
      <w:numFmt w:val="lowerRoman"/>
      <w:lvlText w:val="%3."/>
      <w:lvlJc w:val="right"/>
      <w:pPr>
        <w:ind w:left="2160" w:hanging="180"/>
      </w:pPr>
    </w:lvl>
    <w:lvl w:ilvl="3" w:tplc="ED160DE0">
      <w:start w:val="1"/>
      <w:numFmt w:val="decimal"/>
      <w:lvlText w:val="%4."/>
      <w:lvlJc w:val="left"/>
      <w:pPr>
        <w:ind w:left="2880" w:hanging="360"/>
      </w:pPr>
    </w:lvl>
    <w:lvl w:ilvl="4" w:tplc="9D100682">
      <w:start w:val="1"/>
      <w:numFmt w:val="lowerLetter"/>
      <w:lvlText w:val="%5."/>
      <w:lvlJc w:val="left"/>
      <w:pPr>
        <w:ind w:left="3600" w:hanging="360"/>
      </w:pPr>
    </w:lvl>
    <w:lvl w:ilvl="5" w:tplc="05BA1F7C">
      <w:start w:val="1"/>
      <w:numFmt w:val="lowerRoman"/>
      <w:lvlText w:val="%6."/>
      <w:lvlJc w:val="right"/>
      <w:pPr>
        <w:ind w:left="4320" w:hanging="180"/>
      </w:pPr>
    </w:lvl>
    <w:lvl w:ilvl="6" w:tplc="268892DC">
      <w:start w:val="1"/>
      <w:numFmt w:val="decimal"/>
      <w:lvlText w:val="%7."/>
      <w:lvlJc w:val="left"/>
      <w:pPr>
        <w:ind w:left="5040" w:hanging="360"/>
      </w:pPr>
    </w:lvl>
    <w:lvl w:ilvl="7" w:tplc="94948F2C">
      <w:start w:val="1"/>
      <w:numFmt w:val="lowerLetter"/>
      <w:lvlText w:val="%8."/>
      <w:lvlJc w:val="left"/>
      <w:pPr>
        <w:ind w:left="5760" w:hanging="360"/>
      </w:pPr>
    </w:lvl>
    <w:lvl w:ilvl="8" w:tplc="2BCED0C8">
      <w:start w:val="1"/>
      <w:numFmt w:val="lowerRoman"/>
      <w:lvlText w:val="%9."/>
      <w:lvlJc w:val="right"/>
      <w:pPr>
        <w:ind w:left="6480" w:hanging="180"/>
      </w:pPr>
    </w:lvl>
  </w:abstractNum>
  <w:abstractNum w:abstractNumId="13" w15:restartNumberingAfterBreak="0">
    <w:nsid w:val="75A86F40"/>
    <w:multiLevelType w:val="hybridMultilevel"/>
    <w:tmpl w:val="73A4D79C"/>
    <w:lvl w:ilvl="0" w:tplc="25A6BCB2">
      <w:start w:val="1"/>
      <w:numFmt w:val="upperLetter"/>
      <w:lvlText w:val="%1."/>
      <w:lvlJc w:val="left"/>
      <w:pPr>
        <w:ind w:left="720" w:hanging="360"/>
      </w:pPr>
    </w:lvl>
    <w:lvl w:ilvl="1" w:tplc="81646E90">
      <w:start w:val="1"/>
      <w:numFmt w:val="lowerLetter"/>
      <w:lvlText w:val="%2."/>
      <w:lvlJc w:val="left"/>
      <w:pPr>
        <w:ind w:left="1440" w:hanging="360"/>
      </w:pPr>
    </w:lvl>
    <w:lvl w:ilvl="2" w:tplc="E4901984">
      <w:start w:val="1"/>
      <w:numFmt w:val="lowerRoman"/>
      <w:lvlText w:val="%3."/>
      <w:lvlJc w:val="right"/>
      <w:pPr>
        <w:ind w:left="2160" w:hanging="180"/>
      </w:pPr>
    </w:lvl>
    <w:lvl w:ilvl="3" w:tplc="3C588C4A">
      <w:start w:val="1"/>
      <w:numFmt w:val="decimal"/>
      <w:lvlText w:val="%4."/>
      <w:lvlJc w:val="left"/>
      <w:pPr>
        <w:ind w:left="2880" w:hanging="360"/>
      </w:pPr>
    </w:lvl>
    <w:lvl w:ilvl="4" w:tplc="84E4982A">
      <w:start w:val="1"/>
      <w:numFmt w:val="lowerLetter"/>
      <w:lvlText w:val="%5."/>
      <w:lvlJc w:val="left"/>
      <w:pPr>
        <w:ind w:left="3600" w:hanging="360"/>
      </w:pPr>
    </w:lvl>
    <w:lvl w:ilvl="5" w:tplc="F23C8110">
      <w:start w:val="1"/>
      <w:numFmt w:val="lowerRoman"/>
      <w:lvlText w:val="%6."/>
      <w:lvlJc w:val="right"/>
      <w:pPr>
        <w:ind w:left="4320" w:hanging="180"/>
      </w:pPr>
    </w:lvl>
    <w:lvl w:ilvl="6" w:tplc="D012D62A">
      <w:start w:val="1"/>
      <w:numFmt w:val="decimal"/>
      <w:lvlText w:val="%7."/>
      <w:lvlJc w:val="left"/>
      <w:pPr>
        <w:ind w:left="5040" w:hanging="360"/>
      </w:pPr>
    </w:lvl>
    <w:lvl w:ilvl="7" w:tplc="C9D6D1C4">
      <w:start w:val="1"/>
      <w:numFmt w:val="lowerLetter"/>
      <w:lvlText w:val="%8."/>
      <w:lvlJc w:val="left"/>
      <w:pPr>
        <w:ind w:left="5760" w:hanging="360"/>
      </w:pPr>
    </w:lvl>
    <w:lvl w:ilvl="8" w:tplc="FD80C138">
      <w:start w:val="1"/>
      <w:numFmt w:val="lowerRoman"/>
      <w:lvlText w:val="%9."/>
      <w:lvlJc w:val="right"/>
      <w:pPr>
        <w:ind w:left="6480" w:hanging="180"/>
      </w:pPr>
    </w:lvl>
  </w:abstractNum>
  <w:abstractNum w:abstractNumId="14" w15:restartNumberingAfterBreak="0">
    <w:nsid w:val="760607AE"/>
    <w:multiLevelType w:val="hybridMultilevel"/>
    <w:tmpl w:val="AA3E9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612D"/>
    <w:multiLevelType w:val="hybridMultilevel"/>
    <w:tmpl w:val="7DA0E560"/>
    <w:lvl w:ilvl="0" w:tplc="5066D714">
      <w:start w:val="1"/>
      <w:numFmt w:val="upperLetter"/>
      <w:lvlText w:val="%1."/>
      <w:lvlJc w:val="left"/>
      <w:pPr>
        <w:ind w:left="720" w:hanging="360"/>
      </w:pPr>
    </w:lvl>
    <w:lvl w:ilvl="1" w:tplc="B1C687EC">
      <w:start w:val="1"/>
      <w:numFmt w:val="lowerLetter"/>
      <w:lvlText w:val="%2."/>
      <w:lvlJc w:val="left"/>
      <w:pPr>
        <w:ind w:left="1440" w:hanging="360"/>
      </w:pPr>
    </w:lvl>
    <w:lvl w:ilvl="2" w:tplc="DA90410A">
      <w:start w:val="1"/>
      <w:numFmt w:val="lowerRoman"/>
      <w:lvlText w:val="%3."/>
      <w:lvlJc w:val="right"/>
      <w:pPr>
        <w:ind w:left="2160" w:hanging="180"/>
      </w:pPr>
    </w:lvl>
    <w:lvl w:ilvl="3" w:tplc="7602CE46">
      <w:start w:val="1"/>
      <w:numFmt w:val="decimal"/>
      <w:lvlText w:val="%4."/>
      <w:lvlJc w:val="left"/>
      <w:pPr>
        <w:ind w:left="2880" w:hanging="360"/>
      </w:pPr>
    </w:lvl>
    <w:lvl w:ilvl="4" w:tplc="FF0C0F02">
      <w:start w:val="1"/>
      <w:numFmt w:val="lowerLetter"/>
      <w:lvlText w:val="%5."/>
      <w:lvlJc w:val="left"/>
      <w:pPr>
        <w:ind w:left="3600" w:hanging="360"/>
      </w:pPr>
    </w:lvl>
    <w:lvl w:ilvl="5" w:tplc="34807912">
      <w:start w:val="1"/>
      <w:numFmt w:val="lowerRoman"/>
      <w:lvlText w:val="%6."/>
      <w:lvlJc w:val="right"/>
      <w:pPr>
        <w:ind w:left="4320" w:hanging="180"/>
      </w:pPr>
    </w:lvl>
    <w:lvl w:ilvl="6" w:tplc="311C7182">
      <w:start w:val="1"/>
      <w:numFmt w:val="decimal"/>
      <w:lvlText w:val="%7."/>
      <w:lvlJc w:val="left"/>
      <w:pPr>
        <w:ind w:left="5040" w:hanging="360"/>
      </w:pPr>
    </w:lvl>
    <w:lvl w:ilvl="7" w:tplc="090A1824">
      <w:start w:val="1"/>
      <w:numFmt w:val="lowerLetter"/>
      <w:lvlText w:val="%8."/>
      <w:lvlJc w:val="left"/>
      <w:pPr>
        <w:ind w:left="5760" w:hanging="360"/>
      </w:pPr>
    </w:lvl>
    <w:lvl w:ilvl="8" w:tplc="66FA12D8">
      <w:start w:val="1"/>
      <w:numFmt w:val="lowerRoman"/>
      <w:lvlText w:val="%9."/>
      <w:lvlJc w:val="right"/>
      <w:pPr>
        <w:ind w:left="6480" w:hanging="180"/>
      </w:pPr>
    </w:lvl>
  </w:abstractNum>
  <w:num w:numId="1">
    <w:abstractNumId w:val="11"/>
  </w:num>
  <w:num w:numId="2">
    <w:abstractNumId w:val="0"/>
  </w:num>
  <w:num w:numId="3">
    <w:abstractNumId w:val="12"/>
  </w:num>
  <w:num w:numId="4">
    <w:abstractNumId w:val="2"/>
  </w:num>
  <w:num w:numId="5">
    <w:abstractNumId w:val="7"/>
  </w:num>
  <w:num w:numId="6">
    <w:abstractNumId w:val="5"/>
  </w:num>
  <w:num w:numId="7">
    <w:abstractNumId w:val="8"/>
  </w:num>
  <w:num w:numId="8">
    <w:abstractNumId w:val="6"/>
  </w:num>
  <w:num w:numId="9">
    <w:abstractNumId w:val="15"/>
  </w:num>
  <w:num w:numId="10">
    <w:abstractNumId w:val="4"/>
  </w:num>
  <w:num w:numId="11">
    <w:abstractNumId w:val="1"/>
  </w:num>
  <w:num w:numId="12">
    <w:abstractNumId w:val="13"/>
  </w:num>
  <w:num w:numId="13">
    <w:abstractNumId w:val="10"/>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9D"/>
    <w:rsid w:val="0000663E"/>
    <w:rsid w:val="00021D92"/>
    <w:rsid w:val="00147B37"/>
    <w:rsid w:val="0022219B"/>
    <w:rsid w:val="002452B7"/>
    <w:rsid w:val="002B6897"/>
    <w:rsid w:val="004C66A0"/>
    <w:rsid w:val="004E66E1"/>
    <w:rsid w:val="00537A6A"/>
    <w:rsid w:val="00682DDC"/>
    <w:rsid w:val="006C2200"/>
    <w:rsid w:val="007935EF"/>
    <w:rsid w:val="00801221"/>
    <w:rsid w:val="009E77FE"/>
    <w:rsid w:val="00A7177F"/>
    <w:rsid w:val="00A7301F"/>
    <w:rsid w:val="00A90725"/>
    <w:rsid w:val="00B3596F"/>
    <w:rsid w:val="00C23C9D"/>
    <w:rsid w:val="00CD1F79"/>
    <w:rsid w:val="00D07258"/>
    <w:rsid w:val="00D2432A"/>
    <w:rsid w:val="00D24B53"/>
    <w:rsid w:val="00D67C36"/>
    <w:rsid w:val="00FE2C2D"/>
    <w:rsid w:val="00FF049C"/>
    <w:rsid w:val="0BE63F1D"/>
    <w:rsid w:val="12930BB3"/>
    <w:rsid w:val="14993D27"/>
    <w:rsid w:val="7D3B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77B"/>
  <w15:chartTrackingRefBased/>
  <w15:docId w15:val="{27668050-6A3A-486E-A216-3DF025BF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9D"/>
    <w:pPr>
      <w:spacing w:line="312" w:lineRule="auto"/>
    </w:pPr>
    <w:rPr>
      <w:rFonts w:ascii="Times New Roman" w:eastAsiaTheme="minorEastAsia" w:hAnsi="Times New Roman" w:cs="Times New Roman"/>
      <w:sz w:val="24"/>
      <w:szCs w:val="24"/>
      <w:lang w:val="en-GB"/>
    </w:rPr>
  </w:style>
  <w:style w:type="paragraph" w:styleId="Titre1">
    <w:name w:val="heading 1"/>
    <w:basedOn w:val="Normal"/>
    <w:next w:val="Normal"/>
    <w:link w:val="Titre1Car"/>
    <w:uiPriority w:val="9"/>
    <w:qFormat/>
    <w:rsid w:val="00C23C9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C23C9D"/>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C23C9D"/>
    <w:pPr>
      <w:keepNext/>
      <w:keepLines/>
      <w:spacing w:before="80" w:after="0" w:line="240" w:lineRule="auto"/>
      <w:outlineLvl w:val="2"/>
    </w:pPr>
    <w:rPr>
      <w:rFonts w:asciiTheme="majorHAnsi" w:eastAsiaTheme="majorEastAsia" w:hAnsiTheme="majorHAnsi" w:cstheme="majorBid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C9D"/>
    <w:rPr>
      <w:rFonts w:asciiTheme="majorHAnsi" w:eastAsiaTheme="majorEastAsia" w:hAnsiTheme="majorHAnsi" w:cstheme="majorBidi"/>
      <w:caps/>
      <w:spacing w:val="10"/>
      <w:sz w:val="36"/>
      <w:szCs w:val="36"/>
      <w:lang w:val="en-GB"/>
    </w:rPr>
  </w:style>
  <w:style w:type="character" w:customStyle="1" w:styleId="Titre2Car">
    <w:name w:val="Titre 2 Car"/>
    <w:basedOn w:val="Policepardfaut"/>
    <w:link w:val="Titre2"/>
    <w:uiPriority w:val="9"/>
    <w:rsid w:val="00C23C9D"/>
    <w:rPr>
      <w:rFonts w:asciiTheme="majorHAnsi" w:eastAsiaTheme="majorEastAsia" w:hAnsiTheme="majorHAnsi" w:cstheme="majorBidi"/>
      <w:sz w:val="36"/>
      <w:szCs w:val="36"/>
      <w:lang w:val="en-GB"/>
    </w:rPr>
  </w:style>
  <w:style w:type="character" w:customStyle="1" w:styleId="Titre3Car">
    <w:name w:val="Titre 3 Car"/>
    <w:basedOn w:val="Policepardfaut"/>
    <w:link w:val="Titre3"/>
    <w:uiPriority w:val="9"/>
    <w:rsid w:val="00C23C9D"/>
    <w:rPr>
      <w:rFonts w:asciiTheme="majorHAnsi" w:eastAsiaTheme="majorEastAsia" w:hAnsiTheme="majorHAnsi" w:cstheme="majorBidi"/>
      <w:sz w:val="28"/>
      <w:szCs w:val="28"/>
      <w:lang w:val="en-GB"/>
    </w:rPr>
  </w:style>
  <w:style w:type="paragraph" w:styleId="Paragraphedeliste">
    <w:name w:val="List Paragraph"/>
    <w:basedOn w:val="Normal"/>
    <w:uiPriority w:val="34"/>
    <w:qFormat/>
    <w:rsid w:val="00C23C9D"/>
    <w:pPr>
      <w:ind w:left="720"/>
      <w:contextualSpacing/>
    </w:pPr>
  </w:style>
  <w:style w:type="character" w:styleId="Lienhypertexte">
    <w:name w:val="Hyperlink"/>
    <w:basedOn w:val="Policepardfaut"/>
    <w:uiPriority w:val="99"/>
    <w:unhideWhenUsed/>
    <w:rsid w:val="00C23C9D"/>
    <w:rPr>
      <w:color w:val="0563C1" w:themeColor="hyperlink"/>
      <w:u w:val="single"/>
    </w:rPr>
  </w:style>
  <w:style w:type="paragraph" w:styleId="Textedebulles">
    <w:name w:val="Balloon Text"/>
    <w:basedOn w:val="Normal"/>
    <w:link w:val="TextedebullesCar"/>
    <w:uiPriority w:val="99"/>
    <w:semiHidden/>
    <w:unhideWhenUsed/>
    <w:rsid w:val="00021D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D92"/>
    <w:rPr>
      <w:rFonts w:ascii="Segoe UI" w:eastAsiaTheme="minorEastAsia" w:hAnsi="Segoe UI" w:cs="Segoe UI"/>
      <w:sz w:val="18"/>
      <w:szCs w:val="18"/>
      <w:lang w:val="en-GB"/>
    </w:rPr>
  </w:style>
  <w:style w:type="character" w:styleId="Marquedecommentaire">
    <w:name w:val="annotation reference"/>
    <w:basedOn w:val="Policepardfaut"/>
    <w:uiPriority w:val="99"/>
    <w:semiHidden/>
    <w:unhideWhenUsed/>
    <w:rsid w:val="002B6897"/>
    <w:rPr>
      <w:sz w:val="16"/>
      <w:szCs w:val="16"/>
    </w:rPr>
  </w:style>
  <w:style w:type="paragraph" w:styleId="Commentaire">
    <w:name w:val="annotation text"/>
    <w:basedOn w:val="Normal"/>
    <w:link w:val="CommentaireCar"/>
    <w:uiPriority w:val="99"/>
    <w:semiHidden/>
    <w:unhideWhenUsed/>
    <w:rsid w:val="002B6897"/>
    <w:pPr>
      <w:spacing w:line="240" w:lineRule="auto"/>
    </w:pPr>
    <w:rPr>
      <w:sz w:val="20"/>
      <w:szCs w:val="20"/>
    </w:rPr>
  </w:style>
  <w:style w:type="character" w:customStyle="1" w:styleId="CommentaireCar">
    <w:name w:val="Commentaire Car"/>
    <w:basedOn w:val="Policepardfaut"/>
    <w:link w:val="Commentaire"/>
    <w:uiPriority w:val="99"/>
    <w:semiHidden/>
    <w:rsid w:val="002B6897"/>
    <w:rPr>
      <w:rFonts w:ascii="Times New Roman" w:eastAsiaTheme="minorEastAsia"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B6897"/>
    <w:rPr>
      <w:b/>
      <w:bCs/>
    </w:rPr>
  </w:style>
  <w:style w:type="character" w:customStyle="1" w:styleId="ObjetducommentaireCar">
    <w:name w:val="Objet du commentaire Car"/>
    <w:basedOn w:val="CommentaireCar"/>
    <w:link w:val="Objetducommentaire"/>
    <w:uiPriority w:val="99"/>
    <w:semiHidden/>
    <w:rsid w:val="002B6897"/>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f37209-1c97-4eae-96b8-174d0c79118c">
      <UserInfo>
        <DisplayName>Sonia Grigt</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F5C1322731A44F9A7780439265BE97" ma:contentTypeVersion="8" ma:contentTypeDescription="Create a new document." ma:contentTypeScope="" ma:versionID="637e74a21c8ff7b25b259e68c9999295">
  <xsd:schema xmlns:xsd="http://www.w3.org/2001/XMLSchema" xmlns:xs="http://www.w3.org/2001/XMLSchema" xmlns:p="http://schemas.microsoft.com/office/2006/metadata/properties" xmlns:ns2="e4f37209-1c97-4eae-96b8-174d0c79118c" xmlns:ns3="e6dfe04d-51b9-41db-aaf2-b7d90787347d" targetNamespace="http://schemas.microsoft.com/office/2006/metadata/properties" ma:root="true" ma:fieldsID="0d716543fb5471f769ae8d4aaa654b7f" ns2:_="" ns3:_="">
    <xsd:import namespace="e4f37209-1c97-4eae-96b8-174d0c79118c"/>
    <xsd:import namespace="e6dfe04d-51b9-41db-aaf2-b7d9078734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7209-1c97-4eae-96b8-174d0c7911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fe04d-51b9-41db-aaf2-b7d9078734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B6555-0D1B-41CC-B9C2-792C8C782B88}">
  <ds:schemaRefs>
    <ds:schemaRef ds:uri="http://schemas.microsoft.com/sharepoint/v3/contenttype/forms"/>
  </ds:schemaRefs>
</ds:datastoreItem>
</file>

<file path=customXml/itemProps2.xml><?xml version="1.0" encoding="utf-8"?>
<ds:datastoreItem xmlns:ds="http://schemas.openxmlformats.org/officeDocument/2006/customXml" ds:itemID="{9E330CE3-85B9-4F80-A085-D63264ED339E}">
  <ds:schemaRefs>
    <ds:schemaRef ds:uri="http://schemas.microsoft.com/office/2006/metadata/properties"/>
    <ds:schemaRef ds:uri="http://schemas.microsoft.com/office/infopath/2007/PartnerControls"/>
    <ds:schemaRef ds:uri="e4f37209-1c97-4eae-96b8-174d0c79118c"/>
  </ds:schemaRefs>
</ds:datastoreItem>
</file>

<file path=customXml/itemProps3.xml><?xml version="1.0" encoding="utf-8"?>
<ds:datastoreItem xmlns:ds="http://schemas.openxmlformats.org/officeDocument/2006/customXml" ds:itemID="{3B73D851-7FE2-42B8-A5C2-6C9EF4FD9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7209-1c97-4eae-96b8-174d0c79118c"/>
    <ds:schemaRef ds:uri="e6dfe04d-51b9-41db-aaf2-b7d907873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19100</Characters>
  <Application>Microsoft Office Word</Application>
  <DocSecurity>0</DocSecurity>
  <Lines>159</Lines>
  <Paragraphs>45</Paragraphs>
  <ScaleCrop>false</ScaleCrop>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Marlet</dc:creator>
  <cp:keywords/>
  <dc:description/>
  <cp:lastModifiedBy>Sonia Grigt</cp:lastModifiedBy>
  <cp:revision>13</cp:revision>
  <cp:lastPrinted>2017-01-25T13:52:00Z</cp:lastPrinted>
  <dcterms:created xsi:type="dcterms:W3CDTF">2017-01-26T14:18:00Z</dcterms:created>
  <dcterms:modified xsi:type="dcterms:W3CDTF">2018-04-04T15:23:00Z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0x010100F2F5C1322731A44F9A7780439265BE97</vt:lpwstr>
  </property>
</Properties>
</file>